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5E6A">
        <w:rPr>
          <w:rFonts w:eastAsia="Times New Roman" w:cs="Times New Roman"/>
          <w:b/>
          <w:szCs w:val="20"/>
        </w:rPr>
        <w:t>South Carolina General Assembly</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A5E6A">
        <w:rPr>
          <w:rFonts w:eastAsia="Times New Roman" w:cs="Times New Roman"/>
          <w:szCs w:val="20"/>
        </w:rPr>
        <w:t>120th Session, 2013-2014</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E34026"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A80, R101, H3505</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b/>
          <w:szCs w:val="20"/>
        </w:rPr>
        <w:t>STATUS INFORMATION</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szCs w:val="20"/>
        </w:rPr>
        <w:t>General Bill</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szCs w:val="20"/>
        </w:rPr>
        <w:t>Sponsors: Reps. Loftis, Bannister, Harrell, J.R. Smith, Brannon, Huggins, Kennedy, Ballentine, Cole, Hixon, McCoy, G.R. Smith, Hamilton, Tallon, Henderson, Forrester, Whipper and Hodges</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szCs w:val="20"/>
        </w:rPr>
        <w:t>Document Path: l:\council\bills\dka\3014sd13.docx</w:t>
      </w:r>
    </w:p>
    <w:p w:rsidR="00CF79C1" w:rsidRDefault="00CF79C1"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Companion/Similar bill(s): 262, 3319</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6, 2013</w:t>
      </w: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5, 2013</w:t>
      </w: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14, 2013, Signed</w:t>
      </w:r>
    </w:p>
    <w:p w:rsidR="00116403" w:rsidRDefault="00116403"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szCs w:val="20"/>
        </w:rPr>
        <w:t>Summary: High Growth Small Business Access to Capital Act</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DA5E6A" w:rsidP="00DA5E6A">
      <w:pPr>
        <w:widowControl w:val="0"/>
        <w:tabs>
          <w:tab w:val="center" w:pos="590"/>
          <w:tab w:val="center" w:pos="1440"/>
          <w:tab w:val="left" w:pos="1872"/>
          <w:tab w:val="left" w:pos="9187"/>
        </w:tabs>
        <w:rPr>
          <w:rFonts w:eastAsia="Times New Roman" w:cs="Times New Roman"/>
          <w:szCs w:val="20"/>
        </w:rPr>
      </w:pPr>
      <w:r w:rsidRPr="00DA5E6A">
        <w:rPr>
          <w:rFonts w:eastAsia="Times New Roman" w:cs="Times New Roman"/>
          <w:b/>
          <w:szCs w:val="20"/>
        </w:rPr>
        <w:t>HISTORY OF LEGISLATIVE ACTIONS</w:t>
      </w:r>
    </w:p>
    <w:p w:rsidR="00DA5E6A" w:rsidRPr="00DA5E6A" w:rsidRDefault="00DA5E6A" w:rsidP="00DA5E6A">
      <w:pPr>
        <w:widowControl w:val="0"/>
        <w:tabs>
          <w:tab w:val="center" w:pos="590"/>
          <w:tab w:val="center" w:pos="1440"/>
          <w:tab w:val="left" w:pos="1872"/>
          <w:tab w:val="left" w:pos="9187"/>
        </w:tabs>
        <w:rPr>
          <w:rFonts w:eastAsia="Times New Roman" w:cs="Times New Roman"/>
          <w:szCs w:val="20"/>
        </w:rPr>
      </w:pPr>
    </w:p>
    <w:p w:rsidR="00DA5E6A" w:rsidRPr="00DA5E6A" w:rsidRDefault="00DA5E6A" w:rsidP="00DA5E6A">
      <w:pPr>
        <w:widowControl w:val="0"/>
        <w:tabs>
          <w:tab w:val="center" w:pos="590"/>
          <w:tab w:val="center" w:pos="1440"/>
          <w:tab w:val="left" w:pos="1872"/>
          <w:tab w:val="left" w:pos="9187"/>
        </w:tabs>
        <w:rPr>
          <w:rFonts w:eastAsia="Times New Roman" w:cs="Times New Roman"/>
          <w:szCs w:val="20"/>
        </w:rPr>
      </w:pPr>
      <w:r w:rsidRPr="00DA5E6A">
        <w:rPr>
          <w:rFonts w:eastAsia="Times New Roman" w:cs="Times New Roman"/>
          <w:szCs w:val="20"/>
          <w:u w:val="single"/>
        </w:rPr>
        <w:tab/>
        <w:t>Date</w:t>
      </w:r>
      <w:r w:rsidRPr="00DA5E6A">
        <w:rPr>
          <w:rFonts w:eastAsia="Times New Roman" w:cs="Times New Roman"/>
          <w:szCs w:val="20"/>
          <w:u w:val="single"/>
        </w:rPr>
        <w:tab/>
        <w:t>Body</w:t>
      </w:r>
      <w:r w:rsidRPr="00DA5E6A">
        <w:rPr>
          <w:rFonts w:eastAsia="Times New Roman" w:cs="Times New Roman"/>
          <w:szCs w:val="20"/>
          <w:u w:val="single"/>
        </w:rPr>
        <w:tab/>
        <w:t>Action Description with journal page number</w:t>
      </w:r>
      <w:r w:rsidRPr="00DA5E6A">
        <w:rPr>
          <w:rFonts w:eastAsia="Times New Roman" w:cs="Times New Roman"/>
          <w:szCs w:val="20"/>
          <w:u w:val="single"/>
        </w:rPr>
        <w:tab/>
      </w:r>
      <w:bookmarkStart w:id="0" w:name="_GoBack"/>
      <w:bookmarkEnd w:id="0"/>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837D51">
        <w:rPr>
          <w:rFonts w:cs="Times New Roman"/>
        </w:rPr>
        <w:t>Introduced and read first time (</w:t>
      </w:r>
      <w:hyperlink r:id="rId7" w:history="1">
        <w:r w:rsidRPr="00837D51">
          <w:rPr>
            <w:rStyle w:val="Hyperlink"/>
            <w:rFonts w:cs="Times New Roman"/>
          </w:rPr>
          <w:t>House Journal</w:t>
        </w:r>
        <w:r w:rsidRPr="00837D51">
          <w:rPr>
            <w:rStyle w:val="Hyperlink"/>
            <w:rFonts w:cs="Times New Roman"/>
          </w:rPr>
          <w:noBreakHyphen/>
          <w:t>page 7</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House</w:t>
      </w:r>
      <w:r>
        <w:rPr>
          <w:rFonts w:cs="Times New Roman"/>
        </w:rPr>
        <w:tab/>
      </w:r>
      <w:r w:rsidRPr="00837D51">
        <w:rPr>
          <w:rFonts w:cs="Times New Roman"/>
        </w:rPr>
        <w:t>Referred</w:t>
      </w:r>
      <w:r>
        <w:rPr>
          <w:rFonts w:cs="Times New Roman"/>
        </w:rPr>
        <w:t xml:space="preserve"> to Committee on </w:t>
      </w:r>
      <w:r w:rsidRPr="00837D51">
        <w:rPr>
          <w:rFonts w:cs="Times New Roman"/>
          <w:b/>
        </w:rPr>
        <w:t>Ways and Means</w:t>
      </w:r>
      <w:r>
        <w:rPr>
          <w:rFonts w:cs="Times New Roman"/>
        </w:rPr>
        <w:t xml:space="preserve"> </w:t>
      </w:r>
      <w:r w:rsidRPr="00837D51">
        <w:rPr>
          <w:rFonts w:cs="Times New Roman"/>
        </w:rPr>
        <w:t>(</w:t>
      </w:r>
      <w:hyperlink r:id="rId8" w:history="1">
        <w:r w:rsidRPr="00837D51">
          <w:rPr>
            <w:rStyle w:val="Hyperlink"/>
            <w:rFonts w:cs="Times New Roman"/>
          </w:rPr>
          <w:t>House Journal</w:t>
        </w:r>
        <w:r w:rsidRPr="00837D51">
          <w:rPr>
            <w:rStyle w:val="Hyperlink"/>
            <w:rFonts w:cs="Times New Roman"/>
          </w:rPr>
          <w:noBreakHyphen/>
          <w:t>page 7</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2/7/2013</w:t>
      </w:r>
      <w:r>
        <w:rPr>
          <w:rFonts w:cs="Times New Roman"/>
        </w:rPr>
        <w:tab/>
        <w:t>House</w:t>
      </w:r>
      <w:r>
        <w:rPr>
          <w:rFonts w:cs="Times New Roman"/>
        </w:rPr>
        <w:tab/>
      </w:r>
      <w:r w:rsidRPr="00837D51">
        <w:rPr>
          <w:rFonts w:cs="Times New Roman"/>
        </w:rPr>
        <w:t>Member(s)</w:t>
      </w:r>
      <w:r>
        <w:rPr>
          <w:rFonts w:cs="Times New Roman"/>
        </w:rPr>
        <w:t xml:space="preserve"> request name added as sponsor: </w:t>
      </w:r>
      <w:r w:rsidRPr="00837D51">
        <w:rPr>
          <w:rFonts w:cs="Times New Roman"/>
        </w:rPr>
        <w:t>Hamilton, Tallon, Henderson, Forrester</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837D51">
        <w:rPr>
          <w:rFonts w:cs="Times New Roman"/>
        </w:rPr>
        <w:t>Committee report</w:t>
      </w:r>
      <w:r>
        <w:rPr>
          <w:rFonts w:cs="Times New Roman"/>
        </w:rPr>
        <w:t xml:space="preserve">: Favorable with amendment </w:t>
      </w:r>
      <w:r w:rsidRPr="00837D51">
        <w:rPr>
          <w:rFonts w:cs="Times New Roman"/>
          <w:b/>
        </w:rPr>
        <w:t>Ways and Means</w:t>
      </w:r>
      <w:r w:rsidRPr="00837D51">
        <w:rPr>
          <w:rFonts w:cs="Times New Roman"/>
        </w:rPr>
        <w:t xml:space="preserve"> (</w:t>
      </w:r>
      <w:hyperlink r:id="rId9" w:history="1">
        <w:r w:rsidRPr="00837D51">
          <w:rPr>
            <w:rStyle w:val="Hyperlink"/>
            <w:rFonts w:cs="Times New Roman"/>
          </w:rPr>
          <w:t>House Journal</w:t>
        </w:r>
        <w:r w:rsidRPr="00837D51">
          <w:rPr>
            <w:rStyle w:val="Hyperlink"/>
            <w:rFonts w:cs="Times New Roman"/>
          </w:rPr>
          <w:noBreakHyphen/>
          <w:t>page 19</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37D51">
        <w:rPr>
          <w:rFonts w:cs="Times New Roman"/>
        </w:rPr>
        <w:t xml:space="preserve">Member(s) request </w:t>
      </w:r>
      <w:r>
        <w:rPr>
          <w:rFonts w:cs="Times New Roman"/>
        </w:rPr>
        <w:t xml:space="preserve">name added as sponsor: Whipper, </w:t>
      </w:r>
      <w:r w:rsidRPr="00837D51">
        <w:rPr>
          <w:rFonts w:cs="Times New Roman"/>
        </w:rPr>
        <w:t>Hodges</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37D51">
        <w:rPr>
          <w:rFonts w:cs="Times New Roman"/>
        </w:rPr>
        <w:t>Amended (</w:t>
      </w:r>
      <w:hyperlink r:id="rId10" w:history="1">
        <w:r w:rsidRPr="00837D51">
          <w:rPr>
            <w:rStyle w:val="Hyperlink"/>
            <w:rFonts w:cs="Times New Roman"/>
          </w:rPr>
          <w:t>House Journal</w:t>
        </w:r>
        <w:r w:rsidRPr="00837D51">
          <w:rPr>
            <w:rStyle w:val="Hyperlink"/>
            <w:rFonts w:cs="Times New Roman"/>
          </w:rPr>
          <w:noBreakHyphen/>
          <w:t>page 115</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37D51">
        <w:rPr>
          <w:rFonts w:cs="Times New Roman"/>
        </w:rPr>
        <w:t>Read second time (</w:t>
      </w:r>
      <w:hyperlink r:id="rId11" w:history="1">
        <w:r w:rsidRPr="00837D51">
          <w:rPr>
            <w:rStyle w:val="Hyperlink"/>
            <w:rFonts w:cs="Times New Roman"/>
          </w:rPr>
          <w:t>House Journal</w:t>
        </w:r>
        <w:r w:rsidRPr="00837D51">
          <w:rPr>
            <w:rStyle w:val="Hyperlink"/>
            <w:rFonts w:cs="Times New Roman"/>
          </w:rPr>
          <w:noBreakHyphen/>
          <w:t>page 115</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837D51">
        <w:rPr>
          <w:rFonts w:cs="Times New Roman"/>
        </w:rPr>
        <w:t>Roll call Yeas</w:t>
      </w:r>
      <w:r>
        <w:rPr>
          <w:rFonts w:cs="Times New Roman"/>
        </w:rPr>
        <w:noBreakHyphen/>
      </w:r>
      <w:r w:rsidRPr="00837D51">
        <w:rPr>
          <w:rFonts w:cs="Times New Roman"/>
        </w:rPr>
        <w:t>96  Nays</w:t>
      </w:r>
      <w:r>
        <w:rPr>
          <w:rFonts w:cs="Times New Roman"/>
        </w:rPr>
        <w:noBreakHyphen/>
      </w:r>
      <w:r w:rsidRPr="00837D51">
        <w:rPr>
          <w:rFonts w:cs="Times New Roman"/>
        </w:rPr>
        <w:t>10 (</w:t>
      </w:r>
      <w:hyperlink r:id="rId12" w:history="1">
        <w:r w:rsidRPr="00837D51">
          <w:rPr>
            <w:rStyle w:val="Hyperlink"/>
            <w:rFonts w:cs="Times New Roman"/>
          </w:rPr>
          <w:t>House Journal</w:t>
        </w:r>
        <w:r w:rsidRPr="00837D51">
          <w:rPr>
            <w:rStyle w:val="Hyperlink"/>
            <w:rFonts w:cs="Times New Roman"/>
          </w:rPr>
          <w:noBreakHyphen/>
          <w:t>page 122</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837D51">
        <w:rPr>
          <w:rFonts w:cs="Times New Roman"/>
        </w:rPr>
        <w:t>Rea</w:t>
      </w:r>
      <w:r>
        <w:rPr>
          <w:rFonts w:cs="Times New Roman"/>
        </w:rPr>
        <w:t xml:space="preserve">d third time and sent to Senate </w:t>
      </w:r>
      <w:r w:rsidRPr="00837D51">
        <w:rPr>
          <w:rFonts w:cs="Times New Roman"/>
        </w:rPr>
        <w:t>(</w:t>
      </w:r>
      <w:hyperlink r:id="rId13" w:history="1">
        <w:r w:rsidRPr="00837D51">
          <w:rPr>
            <w:rStyle w:val="Hyperlink"/>
            <w:rFonts w:cs="Times New Roman"/>
          </w:rPr>
          <w:t>House Journal</w:t>
        </w:r>
        <w:r w:rsidRPr="00837D51">
          <w:rPr>
            <w:rStyle w:val="Hyperlink"/>
            <w:rFonts w:cs="Times New Roman"/>
          </w:rPr>
          <w:noBreakHyphen/>
          <w:t>page 33</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37D51">
        <w:rPr>
          <w:rFonts w:cs="Times New Roman"/>
        </w:rPr>
        <w:t>Introduced and read first time (</w:t>
      </w:r>
      <w:hyperlink r:id="rId14" w:history="1">
        <w:r w:rsidRPr="00837D51">
          <w:rPr>
            <w:rStyle w:val="Hyperlink"/>
            <w:rFonts w:cs="Times New Roman"/>
          </w:rPr>
          <w:t>Senate Journal</w:t>
        </w:r>
        <w:r w:rsidRPr="00837D51">
          <w:rPr>
            <w:rStyle w:val="Hyperlink"/>
            <w:rFonts w:cs="Times New Roman"/>
          </w:rPr>
          <w:noBreakHyphen/>
          <w:t>page 8</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837D51">
        <w:rPr>
          <w:rFonts w:cs="Times New Roman"/>
        </w:rPr>
        <w:t>R</w:t>
      </w:r>
      <w:r>
        <w:rPr>
          <w:rFonts w:cs="Times New Roman"/>
        </w:rPr>
        <w:t xml:space="preserve">eferred to Committee on </w:t>
      </w:r>
      <w:r w:rsidRPr="00837D51">
        <w:rPr>
          <w:rFonts w:cs="Times New Roman"/>
          <w:b/>
        </w:rPr>
        <w:t>Finance</w:t>
      </w:r>
      <w:r>
        <w:rPr>
          <w:rFonts w:cs="Times New Roman"/>
        </w:rPr>
        <w:t xml:space="preserve"> </w:t>
      </w:r>
      <w:r w:rsidRPr="00837D51">
        <w:rPr>
          <w:rFonts w:cs="Times New Roman"/>
        </w:rPr>
        <w:t>(</w:t>
      </w:r>
      <w:hyperlink r:id="rId15" w:history="1">
        <w:r w:rsidRPr="00837D51">
          <w:rPr>
            <w:rStyle w:val="Hyperlink"/>
            <w:rFonts w:cs="Times New Roman"/>
          </w:rPr>
          <w:t>Senate Journal</w:t>
        </w:r>
        <w:r w:rsidRPr="00837D51">
          <w:rPr>
            <w:rStyle w:val="Hyperlink"/>
            <w:rFonts w:cs="Times New Roman"/>
          </w:rPr>
          <w:noBreakHyphen/>
          <w:t>page 8</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Senate</w:t>
      </w:r>
      <w:r>
        <w:rPr>
          <w:rFonts w:cs="Times New Roman"/>
        </w:rPr>
        <w:tab/>
      </w:r>
      <w:r w:rsidRPr="00837D51">
        <w:rPr>
          <w:rFonts w:cs="Times New Roman"/>
        </w:rPr>
        <w:t>Committee r</w:t>
      </w:r>
      <w:r>
        <w:rPr>
          <w:rFonts w:cs="Times New Roman"/>
        </w:rPr>
        <w:t xml:space="preserve">eport: Favorable with amendment </w:t>
      </w:r>
      <w:r w:rsidRPr="00837D51">
        <w:rPr>
          <w:rFonts w:cs="Times New Roman"/>
          <w:b/>
        </w:rPr>
        <w:t>Finance</w:t>
      </w:r>
      <w:r w:rsidRPr="00837D51">
        <w:rPr>
          <w:rFonts w:cs="Times New Roman"/>
        </w:rPr>
        <w:t xml:space="preserve"> (</w:t>
      </w:r>
      <w:hyperlink r:id="rId16" w:history="1">
        <w:r w:rsidRPr="00837D51">
          <w:rPr>
            <w:rStyle w:val="Hyperlink"/>
            <w:rFonts w:cs="Times New Roman"/>
          </w:rPr>
          <w:t>Senate Journal</w:t>
        </w:r>
        <w:r w:rsidRPr="00837D51">
          <w:rPr>
            <w:rStyle w:val="Hyperlink"/>
            <w:rFonts w:cs="Times New Roman"/>
          </w:rPr>
          <w:noBreakHyphen/>
          <w:t>page 11</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837D51">
        <w:rPr>
          <w:rFonts w:cs="Times New Roman"/>
        </w:rPr>
        <w:t>Committee Amendment Adopted (</w:t>
      </w:r>
      <w:hyperlink r:id="rId17" w:history="1">
        <w:r w:rsidRPr="00837D51">
          <w:rPr>
            <w:rStyle w:val="Hyperlink"/>
            <w:rFonts w:cs="Times New Roman"/>
          </w:rPr>
          <w:t>Senate Journal</w:t>
        </w:r>
        <w:r w:rsidRPr="00837D51">
          <w:rPr>
            <w:rStyle w:val="Hyperlink"/>
            <w:rFonts w:cs="Times New Roman"/>
          </w:rPr>
          <w:noBreakHyphen/>
          <w:t>page 119</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837D51">
        <w:rPr>
          <w:rFonts w:cs="Times New Roman"/>
        </w:rPr>
        <w:t>Read second time (</w:t>
      </w:r>
      <w:hyperlink r:id="rId18" w:history="1">
        <w:r w:rsidRPr="00837D51">
          <w:rPr>
            <w:rStyle w:val="Hyperlink"/>
            <w:rFonts w:cs="Times New Roman"/>
          </w:rPr>
          <w:t>Senate Journal</w:t>
        </w:r>
        <w:r w:rsidRPr="00837D51">
          <w:rPr>
            <w:rStyle w:val="Hyperlink"/>
            <w:rFonts w:cs="Times New Roman"/>
          </w:rPr>
          <w:noBreakHyphen/>
          <w:t>page 119</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837D51">
        <w:rPr>
          <w:rFonts w:cs="Times New Roman"/>
        </w:rPr>
        <w:t>Roll call Ayes</w:t>
      </w:r>
      <w:r>
        <w:rPr>
          <w:rFonts w:cs="Times New Roman"/>
        </w:rPr>
        <w:noBreakHyphen/>
      </w:r>
      <w:r w:rsidRPr="00837D51">
        <w:rPr>
          <w:rFonts w:cs="Times New Roman"/>
        </w:rPr>
        <w:t>38  Nays</w:t>
      </w:r>
      <w:r>
        <w:rPr>
          <w:rFonts w:cs="Times New Roman"/>
        </w:rPr>
        <w:noBreakHyphen/>
      </w:r>
      <w:r w:rsidRPr="00837D51">
        <w:rPr>
          <w:rFonts w:cs="Times New Roman"/>
        </w:rPr>
        <w:t>4 (</w:t>
      </w:r>
      <w:hyperlink r:id="rId19" w:history="1">
        <w:r w:rsidRPr="00837D51">
          <w:rPr>
            <w:rStyle w:val="Hyperlink"/>
            <w:rFonts w:cs="Times New Roman"/>
          </w:rPr>
          <w:t>Senate Journal</w:t>
        </w:r>
        <w:r w:rsidRPr="00837D51">
          <w:rPr>
            <w:rStyle w:val="Hyperlink"/>
            <w:rFonts w:cs="Times New Roman"/>
          </w:rPr>
          <w:noBreakHyphen/>
          <w:t>page 119</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837D51">
        <w:rPr>
          <w:rFonts w:cs="Times New Roman"/>
        </w:rPr>
        <w:t xml:space="preserve">Read third </w:t>
      </w:r>
      <w:r>
        <w:rPr>
          <w:rFonts w:cs="Times New Roman"/>
        </w:rPr>
        <w:t xml:space="preserve">time and returned to House with </w:t>
      </w:r>
      <w:r w:rsidRPr="00837D51">
        <w:rPr>
          <w:rFonts w:cs="Times New Roman"/>
        </w:rPr>
        <w:t>amendments (</w:t>
      </w:r>
      <w:hyperlink r:id="rId20" w:history="1">
        <w:r w:rsidRPr="00837D51">
          <w:rPr>
            <w:rStyle w:val="Hyperlink"/>
            <w:rFonts w:cs="Times New Roman"/>
          </w:rPr>
          <w:t>Senate Journal</w:t>
        </w:r>
        <w:r w:rsidRPr="00837D51">
          <w:rPr>
            <w:rStyle w:val="Hyperlink"/>
            <w:rFonts w:cs="Times New Roman"/>
          </w:rPr>
          <w:noBreakHyphen/>
          <w:t>page 21</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837D51">
        <w:rPr>
          <w:rFonts w:cs="Times New Roman"/>
        </w:rPr>
        <w:t>Concurred i</w:t>
      </w:r>
      <w:r>
        <w:rPr>
          <w:rFonts w:cs="Times New Roman"/>
        </w:rPr>
        <w:t xml:space="preserve">n Senate amendment and enrolled </w:t>
      </w:r>
      <w:r w:rsidRPr="00837D51">
        <w:rPr>
          <w:rFonts w:cs="Times New Roman"/>
        </w:rPr>
        <w:t>(</w:t>
      </w:r>
      <w:hyperlink r:id="rId21" w:history="1">
        <w:r w:rsidRPr="00837D51">
          <w:rPr>
            <w:rStyle w:val="Hyperlink"/>
            <w:rFonts w:cs="Times New Roman"/>
          </w:rPr>
          <w:t>House Journal</w:t>
        </w:r>
        <w:r w:rsidRPr="00837D51">
          <w:rPr>
            <w:rStyle w:val="Hyperlink"/>
            <w:rFonts w:cs="Times New Roman"/>
          </w:rPr>
          <w:noBreakHyphen/>
          <w:t>page 127</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House</w:t>
      </w:r>
      <w:r>
        <w:rPr>
          <w:rFonts w:cs="Times New Roman"/>
        </w:rPr>
        <w:tab/>
      </w:r>
      <w:r w:rsidRPr="00837D51">
        <w:rPr>
          <w:rFonts w:cs="Times New Roman"/>
        </w:rPr>
        <w:t>Roll call Yeas</w:t>
      </w:r>
      <w:r>
        <w:rPr>
          <w:rFonts w:cs="Times New Roman"/>
        </w:rPr>
        <w:noBreakHyphen/>
      </w:r>
      <w:r w:rsidRPr="00837D51">
        <w:rPr>
          <w:rFonts w:cs="Times New Roman"/>
        </w:rPr>
        <w:t>94  Nays</w:t>
      </w:r>
      <w:r>
        <w:rPr>
          <w:rFonts w:cs="Times New Roman"/>
        </w:rPr>
        <w:noBreakHyphen/>
      </w:r>
      <w:r w:rsidRPr="00837D51">
        <w:rPr>
          <w:rFonts w:cs="Times New Roman"/>
        </w:rPr>
        <w:t>10 (</w:t>
      </w:r>
      <w:hyperlink r:id="rId22" w:history="1">
        <w:r w:rsidRPr="00837D51">
          <w:rPr>
            <w:rStyle w:val="Hyperlink"/>
            <w:rFonts w:cs="Times New Roman"/>
          </w:rPr>
          <w:t>House Journal</w:t>
        </w:r>
        <w:r w:rsidRPr="00837D51">
          <w:rPr>
            <w:rStyle w:val="Hyperlink"/>
            <w:rFonts w:cs="Times New Roman"/>
          </w:rPr>
          <w:noBreakHyphen/>
          <w:t>page 128</w:t>
        </w:r>
      </w:hyperlink>
      <w:r w:rsidRPr="00837D51">
        <w:rPr>
          <w:rFonts w:cs="Times New Roman"/>
        </w:rPr>
        <w:t>)</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837D51">
        <w:rPr>
          <w:rFonts w:cs="Times New Roman"/>
        </w:rPr>
        <w:t>Ratified R 101</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6/14/2013</w:t>
      </w:r>
      <w:r>
        <w:rPr>
          <w:rFonts w:cs="Times New Roman"/>
        </w:rPr>
        <w:tab/>
      </w:r>
      <w:r>
        <w:rPr>
          <w:rFonts w:cs="Times New Roman"/>
        </w:rPr>
        <w:tab/>
      </w:r>
      <w:r w:rsidRPr="00837D51">
        <w:rPr>
          <w:rFonts w:cs="Times New Roman"/>
        </w:rPr>
        <w:t>Signed By Governor</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837D51">
        <w:rPr>
          <w:rFonts w:cs="Times New Roman"/>
        </w:rPr>
        <w:t>Effective date See Act for Effective Date</w:t>
      </w:r>
    </w:p>
    <w:p w:rsidR="00E34026" w:rsidRDefault="00E34026" w:rsidP="00E34026">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837D51">
        <w:rPr>
          <w:rFonts w:cs="Times New Roman"/>
        </w:rPr>
        <w:t>Act No</w:t>
      </w:r>
      <w:r>
        <w:rPr>
          <w:rFonts w:cs="Times New Roman"/>
        </w:rPr>
        <w:t>. </w:t>
      </w:r>
      <w:r w:rsidRPr="00837D51">
        <w:rPr>
          <w:rFonts w:cs="Times New Roman"/>
        </w:rPr>
        <w:t>80</w:t>
      </w:r>
    </w:p>
    <w:p w:rsidR="00E34026" w:rsidRDefault="00E34026" w:rsidP="00E34026">
      <w:pPr>
        <w:widowControl w:val="0"/>
        <w:tabs>
          <w:tab w:val="right" w:pos="1008"/>
          <w:tab w:val="left" w:pos="1152"/>
          <w:tab w:val="left" w:pos="1872"/>
          <w:tab w:val="left" w:pos="9187"/>
        </w:tabs>
        <w:ind w:left="2088" w:hanging="2088"/>
        <w:rPr>
          <w:rFonts w:cs="Times New Roman"/>
        </w:rPr>
      </w:pPr>
    </w:p>
    <w:p w:rsidR="00DA5E6A" w:rsidRPr="00DA5E6A" w:rsidRDefault="00DA5E6A" w:rsidP="00DA5E6A">
      <w:pPr>
        <w:widowControl w:val="0"/>
        <w:tabs>
          <w:tab w:val="right" w:pos="1008"/>
          <w:tab w:val="left" w:pos="1152"/>
          <w:tab w:val="left" w:pos="1872"/>
          <w:tab w:val="left" w:pos="9187"/>
        </w:tabs>
        <w:ind w:left="2088" w:hanging="2088"/>
        <w:rPr>
          <w:rFonts w:eastAsia="Times New Roman" w:cs="Times New Roman"/>
          <w:szCs w:val="20"/>
        </w:rPr>
      </w:pP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A5E6A">
        <w:rPr>
          <w:rFonts w:eastAsia="Times New Roman" w:cs="Times New Roman"/>
          <w:b/>
          <w:szCs w:val="20"/>
        </w:rPr>
        <w:t>VERSIONS OF THIS BILL</w:t>
      </w:r>
    </w:p>
    <w:p w:rsidR="00DA5E6A" w:rsidRPr="00DA5E6A" w:rsidRDefault="00DA5E6A"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A5E6A" w:rsidRPr="00DA5E6A" w:rsidRDefault="00EA4BDB" w:rsidP="00DA5E6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DA5E6A" w:rsidRPr="00DA5E6A">
          <w:rPr>
            <w:rFonts w:eastAsia="Times New Roman" w:cs="Times New Roman"/>
            <w:color w:val="0000FF" w:themeColor="hyperlink"/>
            <w:szCs w:val="20"/>
            <w:u w:val="single"/>
          </w:rPr>
          <w:t>2/6/2013</w:t>
        </w:r>
      </w:hyperlink>
    </w:p>
    <w:p w:rsidR="00DA5E6A" w:rsidRPr="00DA5E6A" w:rsidRDefault="00EA4BDB"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A5E6A" w:rsidRPr="00DA5E6A">
          <w:rPr>
            <w:rFonts w:eastAsia="Times New Roman" w:cs="Times New Roman"/>
            <w:color w:val="0000FF" w:themeColor="hyperlink"/>
            <w:szCs w:val="20"/>
            <w:u w:val="single"/>
          </w:rPr>
          <w:t>4/18/2013</w:t>
        </w:r>
      </w:hyperlink>
    </w:p>
    <w:p w:rsidR="00DA5E6A" w:rsidRPr="00DA5E6A" w:rsidRDefault="00EA4BDB"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DA5E6A" w:rsidRPr="00DA5E6A">
          <w:rPr>
            <w:rFonts w:eastAsia="Times New Roman" w:cs="Times New Roman"/>
            <w:color w:val="0000FF" w:themeColor="hyperlink"/>
            <w:szCs w:val="20"/>
            <w:u w:val="single"/>
          </w:rPr>
          <w:t>4/24/2013</w:t>
        </w:r>
      </w:hyperlink>
    </w:p>
    <w:p w:rsidR="00DA5E6A" w:rsidRPr="00DA5E6A" w:rsidRDefault="00EA4BDB"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DA5E6A" w:rsidRPr="00DA5E6A">
          <w:rPr>
            <w:rFonts w:eastAsia="Times New Roman" w:cs="Times New Roman"/>
            <w:color w:val="0000FF" w:themeColor="hyperlink"/>
            <w:szCs w:val="20"/>
            <w:u w:val="single"/>
          </w:rPr>
          <w:t>5/30/2013</w:t>
        </w:r>
      </w:hyperlink>
    </w:p>
    <w:p w:rsidR="00DA5E6A" w:rsidRPr="00DA5E6A" w:rsidRDefault="00EA4BDB"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DA5E6A" w:rsidRPr="00DA5E6A">
          <w:rPr>
            <w:rFonts w:eastAsia="Times New Roman" w:cs="Times New Roman"/>
            <w:color w:val="0000FF" w:themeColor="hyperlink"/>
            <w:szCs w:val="20"/>
            <w:u w:val="single"/>
          </w:rPr>
          <w:t>6/4/2013</w:t>
        </w:r>
      </w:hyperlink>
    </w:p>
    <w:p w:rsidR="00DA5E6A" w:rsidRPr="00DA5E6A" w:rsidRDefault="00DA5E6A"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A5E6A" w:rsidRDefault="00DA5E6A" w:rsidP="00DA5E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A5E6A" w:rsidSect="00DA5E6A">
          <w:pgSz w:w="12240" w:h="15840" w:code="1"/>
          <w:pgMar w:top="1080" w:right="1440" w:bottom="1080" w:left="1440" w:header="720" w:footer="720" w:gutter="0"/>
          <w:pgNumType w:start="1"/>
          <w:cols w:space="720"/>
          <w:noEndnote/>
          <w:docGrid w:linePitch="360"/>
        </w:sectPr>
      </w:pP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(A80, R101, H3505)</w:t>
      </w:r>
    </w:p>
    <w:p w:rsidR="00EB41D2" w:rsidRPr="008836A5"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B41D2" w:rsidRPr="00DA5E6A"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A5E6A">
        <w:rPr>
          <w:rFonts w:cs="Times New Roman"/>
          <w:b/>
          <w:color w:val="000000" w:themeColor="text1"/>
          <w:szCs w:val="36"/>
        </w:rPr>
        <w:t xml:space="preserve">AN ACT </w:t>
      </w:r>
      <w:bookmarkStart w:id="1" w:name="titleend"/>
      <w:bookmarkEnd w:id="1"/>
      <w:r w:rsidRPr="00DA5E6A">
        <w:rPr>
          <w:rFonts w:cs="Times New Roman"/>
          <w:b/>
        </w:rPr>
        <w:t>TO AMEND THE CODE OF LAWS OF SOUTH CAROLINA, 1976, BY ADDING CHAPTER 44 TO TITLE 11 SO AS TO ENACT THE “HIGH GROWTH SMALL BUSINESS JOB CREATION ACT OF 2013” BY PROVIDING FOR STATE NONREFUNDABLE INCOME TAX CREDITS FOR QUALIFIED INVESTMENTS IN BUSINESSES MEETING CERTAIN CRITERIA AND PRIMARILY ENGAGED IN SPECIFIED ACTIVITIES, TO ESTABLISH THE CRITERIA AND PROCEDURES FOR THE CREDIT, TO MAKE THE CREDIT TRANSFERABLE AND PROVIDE FOR LIMITATIONS ON AND REPORTING OF CERTAIN INFORMATION ON THE CREDITS, TO PROVIDE FOR CERTAIN ADJUSTED NET CAPITAL GAIN AND LOSS COMPUTATIONS FOR INVESTOR TAXPAYERS WHO RECOGNIZE SUCH A GAIN OR LOSS ON THE SALE OF CREDIT ASSETS AS DEFINED IN THIS CHAPTER, AND TO PROVIDE THAT THE PROVISIONS OF CHAPTER 44, TITLE 11 ARE REPEALED ON DECEMBER 31, 2019; AND TO AMEND SECTION 12</w:t>
      </w:r>
      <w:r w:rsidRPr="00DA5E6A">
        <w:rPr>
          <w:rFonts w:cs="Times New Roman"/>
          <w:b/>
        </w:rPr>
        <w:noBreakHyphen/>
        <w:t>54</w:t>
      </w:r>
      <w:r w:rsidRPr="00DA5E6A">
        <w:rPr>
          <w:rFonts w:cs="Times New Roman"/>
          <w:b/>
        </w:rPr>
        <w:noBreakHyphen/>
        <w:t>240, AS AMENDED, RELATING TO DISCLOSURE OF RECORDS, REPORTS, AND RETURNS FILED WITH THE DEPARTMENT OF REVENUE, SO AS TO AUTHORIZE THE EXCHANGE BETWEEN THE DEPARTMENT OF REVENUE AND THE SECRETARY OF STATE OF ANY INFORMATION THAT ASSISTS THE DEPARTMENT OF REVENUE OR THE SECRETARY OF STATE IN DETERMINING OR VERIFYING INFORMATION CONCERNING WHETHER A BUSINESS IS A QUALIFIED BUSINESS UNDER CHAPTER 44, TITLE 11.</w:t>
      </w:r>
    </w:p>
    <w:p w:rsidR="00EB41D2" w:rsidRPr="00264C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41D2" w:rsidRPr="00264C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64CD2">
        <w:rPr>
          <w:rFonts w:cs="Times New Roman"/>
        </w:rPr>
        <w:t>Be it enacted by the General Assembly of the State of South Carolina:</w:t>
      </w: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High Growth Small Business Job Creation</w:t>
      </w:r>
    </w:p>
    <w:p w:rsidR="00EB41D2" w:rsidRPr="009D5F66"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SECTION</w:t>
      </w:r>
      <w:r w:rsidRPr="00FB598B">
        <w:rPr>
          <w:rFonts w:cs="Times New Roman"/>
          <w:u w:color="000000" w:themeColor="text1"/>
        </w:rPr>
        <w:tab/>
        <w:t>1.</w:t>
      </w:r>
      <w:r w:rsidRPr="00FB598B">
        <w:rPr>
          <w:rFonts w:cs="Times New Roman"/>
          <w:u w:color="000000" w:themeColor="text1"/>
        </w:rPr>
        <w:tab/>
        <w:t>A.</w:t>
      </w:r>
      <w:r w:rsidRPr="00FB598B">
        <w:rPr>
          <w:rFonts w:cs="Times New Roman"/>
          <w:u w:color="000000" w:themeColor="text1"/>
        </w:rPr>
        <w:tab/>
      </w:r>
      <w:r w:rsidRPr="00FB598B">
        <w:rPr>
          <w:rFonts w:cs="Times New Roman"/>
          <w:u w:color="000000" w:themeColor="text1"/>
        </w:rPr>
        <w:tab/>
        <w:t>Title 11 of the 1976 Code is amended by adding:</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B598B">
        <w:rPr>
          <w:rFonts w:cs="Times New Roman"/>
          <w:u w:color="000000" w:themeColor="text1"/>
        </w:rPr>
        <w:t>“CHAPTER 44</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u w:color="000000" w:themeColor="text1"/>
        </w:rPr>
      </w:pPr>
      <w:r w:rsidRPr="00FB598B">
        <w:rPr>
          <w:rFonts w:cs="Times New Roman"/>
          <w:u w:color="000000" w:themeColor="text1"/>
        </w:rPr>
        <w:t>High Growth Small Business Job Creation Act</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t>10.</w:t>
      </w:r>
      <w:r>
        <w:rPr>
          <w:rFonts w:cs="Times New Roman"/>
          <w:u w:color="000000" w:themeColor="text1"/>
        </w:rPr>
        <w:tab/>
      </w:r>
      <w:r w:rsidRPr="00FB598B">
        <w:rPr>
          <w:rFonts w:cs="Times New Roman"/>
          <w:u w:color="000000" w:themeColor="text1"/>
        </w:rPr>
        <w:t xml:space="preserve">This chapter may be cited as the </w:t>
      </w:r>
      <w:r w:rsidRPr="0088700A">
        <w:rPr>
          <w:rFonts w:cs="Times New Roman"/>
          <w:u w:color="000000" w:themeColor="text1"/>
        </w:rPr>
        <w:t>‘</w:t>
      </w:r>
      <w:r w:rsidRPr="00FB598B">
        <w:rPr>
          <w:rFonts w:cs="Times New Roman"/>
          <w:u w:color="000000" w:themeColor="text1"/>
        </w:rPr>
        <w:t>High Growth Small Business Job Creation Act of 2013</w:t>
      </w:r>
      <w:r w:rsidRPr="0088700A">
        <w:rPr>
          <w:rFonts w:cs="Times New Roman"/>
          <w:u w:color="000000" w:themeColor="text1"/>
        </w:rPr>
        <w:t>’</w:t>
      </w:r>
      <w:r w:rsidRPr="00FB598B">
        <w:rPr>
          <w:rFonts w:cs="Times New Roman"/>
          <w:u w:color="000000" w:themeColor="text1"/>
        </w:rPr>
        <w:t>.</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t>20.</w:t>
      </w:r>
      <w:r>
        <w:rPr>
          <w:rFonts w:cs="Times New Roman"/>
          <w:u w:color="000000" w:themeColor="text1"/>
        </w:rPr>
        <w:tab/>
      </w:r>
      <w:r w:rsidRPr="00FB598B">
        <w:rPr>
          <w:rFonts w:cs="Times New Roman"/>
          <w:u w:color="000000" w:themeColor="text1"/>
        </w:rPr>
        <w:t>The General Assembly desires to support the economic development goals of this State by improving the availability of early stage capital for emerging high</w:t>
      </w:r>
      <w:r>
        <w:rPr>
          <w:rFonts w:cs="Times New Roman"/>
          <w:u w:color="000000" w:themeColor="text1"/>
        </w:rPr>
        <w:noBreakHyphen/>
      </w:r>
      <w:r w:rsidRPr="00FB598B">
        <w:rPr>
          <w:rFonts w:cs="Times New Roman"/>
          <w:u w:color="000000" w:themeColor="text1"/>
        </w:rPr>
        <w:t>growth enterprises in South Carolina</w:t>
      </w:r>
      <w:r w:rsidRPr="00FB598B">
        <w:rPr>
          <w:u w:color="000000" w:themeColor="text1"/>
        </w:rPr>
        <w:t xml:space="preserve">.  </w:t>
      </w:r>
      <w:r w:rsidRPr="00FB598B">
        <w:rPr>
          <w:rFonts w:cs="Times New Roman"/>
          <w:u w:color="000000" w:themeColor="text1"/>
        </w:rPr>
        <w:t>To further these goals, this chapter is intended to:</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(1)</w:t>
      </w:r>
      <w:r w:rsidRPr="00FB598B">
        <w:rPr>
          <w:rFonts w:cs="Times New Roman"/>
          <w:u w:color="000000" w:themeColor="text1"/>
        </w:rPr>
        <w:tab/>
        <w:t>encourage individual angel investors to invest in early stage, high</w:t>
      </w:r>
      <w:r>
        <w:rPr>
          <w:rFonts w:cs="Times New Roman"/>
          <w:u w:color="000000" w:themeColor="text1"/>
        </w:rPr>
        <w:noBreakHyphen/>
      </w:r>
      <w:r w:rsidRPr="00FB598B">
        <w:rPr>
          <w:rFonts w:cs="Times New Roman"/>
          <w:u w:color="000000" w:themeColor="text1"/>
        </w:rPr>
        <w:t>growth, job</w:t>
      </w:r>
      <w:r>
        <w:rPr>
          <w:rFonts w:cs="Times New Roman"/>
          <w:u w:color="000000" w:themeColor="text1"/>
        </w:rPr>
        <w:noBreakHyphen/>
      </w:r>
      <w:r w:rsidRPr="00FB598B">
        <w:rPr>
          <w:rFonts w:cs="Times New Roman"/>
          <w:u w:color="000000" w:themeColor="text1"/>
        </w:rPr>
        <w:t>creating businesses;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ab/>
        <w:t>(2)</w:t>
      </w:r>
      <w:r>
        <w:rPr>
          <w:rFonts w:cs="Times New Roman"/>
          <w:u w:color="000000" w:themeColor="text1"/>
        </w:rPr>
        <w:tab/>
        <w:t>enlarge the number of high</w:t>
      </w:r>
      <w:r>
        <w:rPr>
          <w:rFonts w:cs="Times New Roman"/>
          <w:u w:color="000000" w:themeColor="text1"/>
        </w:rPr>
        <w:noBreakHyphen/>
      </w:r>
      <w:r w:rsidRPr="00FB598B">
        <w:rPr>
          <w:rFonts w:cs="Times New Roman"/>
          <w:u w:color="000000" w:themeColor="text1"/>
        </w:rPr>
        <w:t>quality, high</w:t>
      </w:r>
      <w:r>
        <w:rPr>
          <w:rFonts w:cs="Times New Roman"/>
          <w:u w:color="000000" w:themeColor="text1"/>
        </w:rPr>
        <w:noBreakHyphen/>
      </w:r>
      <w:r w:rsidRPr="00FB598B">
        <w:rPr>
          <w:rFonts w:cs="Times New Roman"/>
          <w:u w:color="000000" w:themeColor="text1"/>
        </w:rPr>
        <w:t>paying jobs within the State;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(3)</w:t>
      </w:r>
      <w:r w:rsidRPr="00FB598B">
        <w:rPr>
          <w:rFonts w:cs="Times New Roman"/>
          <w:u w:color="000000" w:themeColor="text1"/>
        </w:rPr>
        <w:tab/>
        <w:t>expand the economy of this State by enlarging its base of wealth</w:t>
      </w:r>
      <w:r>
        <w:rPr>
          <w:rFonts w:cs="Times New Roman"/>
          <w:u w:color="000000" w:themeColor="text1"/>
        </w:rPr>
        <w:noBreakHyphen/>
      </w:r>
      <w:r w:rsidRPr="00FB598B">
        <w:rPr>
          <w:rFonts w:cs="Times New Roman"/>
          <w:u w:color="000000" w:themeColor="text1"/>
        </w:rPr>
        <w:t>creating businesses; and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(4)</w:t>
      </w:r>
      <w:r w:rsidRPr="00FB598B">
        <w:rPr>
          <w:rFonts w:cs="Times New Roman"/>
          <w:u w:color="000000" w:themeColor="text1"/>
        </w:rPr>
        <w:tab/>
        <w:t>support businesses seeking to commercialize technology invented in this state</w:t>
      </w:r>
      <w:r w:rsidRPr="0088700A">
        <w:rPr>
          <w:rFonts w:cs="Times New Roman"/>
          <w:u w:color="000000" w:themeColor="text1"/>
        </w:rPr>
        <w:t>’</w:t>
      </w:r>
      <w:r w:rsidRPr="00FB598B">
        <w:rPr>
          <w:rFonts w:cs="Times New Roman"/>
          <w:u w:color="000000" w:themeColor="text1"/>
        </w:rPr>
        <w:t>s institutions of higher education.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t>30.</w:t>
      </w:r>
      <w:r>
        <w:rPr>
          <w:rFonts w:cs="Times New Roman"/>
          <w:u w:color="000000" w:themeColor="text1"/>
        </w:rPr>
        <w:tab/>
      </w:r>
      <w:r w:rsidRPr="00FB598B">
        <w:rPr>
          <w:rFonts w:cs="Times New Roman"/>
          <w:u w:color="000000" w:themeColor="text1"/>
        </w:rPr>
        <w:t>For purposes of this chapter: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(1)</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Angel investor</w:t>
      </w:r>
      <w:r w:rsidRPr="0088700A">
        <w:rPr>
          <w:rFonts w:cs="Times New Roman"/>
          <w:u w:color="000000" w:themeColor="text1"/>
        </w:rPr>
        <w:t>’</w:t>
      </w:r>
      <w:r w:rsidRPr="00FB598B">
        <w:rPr>
          <w:rFonts w:cs="Times New Roman"/>
          <w:u w:color="000000" w:themeColor="text1"/>
        </w:rPr>
        <w:t xml:space="preserve"> means an accredited investor as defined by the United States Securities and Exchange Commission, who is: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(a)</w:t>
      </w:r>
      <w:r w:rsidRPr="00FB598B">
        <w:rPr>
          <w:rFonts w:cs="Times New Roman"/>
          <w:u w:color="000000" w:themeColor="text1"/>
        </w:rPr>
        <w:tab/>
        <w:t>an individual person who is a resident of this State or a nonresident who is subject to taxes imposed by Chapter 6, Title 12; or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(b)</w:t>
      </w:r>
      <w:r w:rsidRPr="00FB598B">
        <w:rPr>
          <w:rFonts w:cs="Times New Roman"/>
          <w:u w:color="000000" w:themeColor="text1"/>
        </w:rPr>
        <w:tab/>
        <w:t>a pass</w:t>
      </w:r>
      <w:r>
        <w:rPr>
          <w:rFonts w:cs="Times New Roman"/>
          <w:u w:color="000000" w:themeColor="text1"/>
        </w:rPr>
        <w:noBreakHyphen/>
      </w:r>
      <w:r w:rsidRPr="00FB598B">
        <w:rPr>
          <w:rFonts w:cs="Times New Roman"/>
          <w:u w:color="000000" w:themeColor="text1"/>
        </w:rPr>
        <w:t>through entity which is formed for investment purposes, has no business operations, does not have committed capital under management exceeding five million dollars, and is not capitalized with funds raised or pooled through private placement memoranda directed to institutional investors</w:t>
      </w:r>
      <w:r w:rsidRPr="00FB598B">
        <w:rPr>
          <w:u w:color="000000" w:themeColor="text1"/>
        </w:rPr>
        <w:t xml:space="preserve">.  </w:t>
      </w:r>
      <w:r w:rsidRPr="00FB598B">
        <w:rPr>
          <w:rFonts w:cs="Times New Roman"/>
          <w:u w:color="000000" w:themeColor="text1"/>
        </w:rPr>
        <w:t>A venture capital fund or commodity fund with institutional investors or a hedge fund does not qualify as an angel investor.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(2)</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Headquarters</w:t>
      </w:r>
      <w:r w:rsidRPr="0088700A">
        <w:rPr>
          <w:rFonts w:cs="Times New Roman"/>
          <w:u w:color="000000" w:themeColor="text1"/>
        </w:rPr>
        <w:t>’</w:t>
      </w:r>
      <w:r w:rsidRPr="00FB598B">
        <w:rPr>
          <w:rFonts w:cs="Times New Roman"/>
          <w:u w:color="000000" w:themeColor="text1"/>
        </w:rPr>
        <w:t xml:space="preserve"> means the facility or portion of a facility where corporate staff employees are physically employed, and where the majority of the company</w:t>
      </w:r>
      <w:r w:rsidRPr="0088700A">
        <w:rPr>
          <w:rFonts w:cs="Times New Roman"/>
          <w:u w:color="000000" w:themeColor="text1"/>
        </w:rPr>
        <w:t>’</w:t>
      </w:r>
      <w:r w:rsidRPr="00FB598B">
        <w:rPr>
          <w:rFonts w:cs="Times New Roman"/>
          <w:u w:color="000000" w:themeColor="text1"/>
        </w:rPr>
        <w:t>s or company business unit</w:t>
      </w:r>
      <w:r w:rsidRPr="0088700A">
        <w:rPr>
          <w:rFonts w:cs="Times New Roman"/>
          <w:u w:color="000000" w:themeColor="text1"/>
        </w:rPr>
        <w:t>’</w:t>
      </w:r>
      <w:r w:rsidRPr="00FB598B">
        <w:rPr>
          <w:rFonts w:cs="Times New Roman"/>
          <w:u w:color="000000" w:themeColor="text1"/>
        </w:rPr>
        <w:t>s financial, personnel, legal, planning, information technology, or other headquarters</w:t>
      </w:r>
      <w:r>
        <w:rPr>
          <w:rFonts w:cs="Times New Roman"/>
          <w:u w:color="000000" w:themeColor="text1"/>
        </w:rPr>
        <w:noBreakHyphen/>
      </w:r>
      <w:r w:rsidRPr="00FB598B">
        <w:rPr>
          <w:rFonts w:cs="Times New Roman"/>
          <w:u w:color="000000" w:themeColor="text1"/>
        </w:rPr>
        <w:t>related functions are handled.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(3)</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Net income tax liability</w:t>
      </w:r>
      <w:r w:rsidRPr="0088700A">
        <w:rPr>
          <w:rFonts w:cs="Times New Roman"/>
          <w:u w:color="000000" w:themeColor="text1"/>
        </w:rPr>
        <w:t>’</w:t>
      </w:r>
      <w:r w:rsidRPr="00FB598B">
        <w:rPr>
          <w:rFonts w:cs="Times New Roman"/>
          <w:u w:color="000000" w:themeColor="text1"/>
        </w:rPr>
        <w:t xml:space="preserve"> means South Carolina state income tax liability reduced by all other credits allowed under Titles 11, 12, and 48.</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(4)</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Pass</w:t>
      </w:r>
      <w:r>
        <w:rPr>
          <w:rFonts w:cs="Times New Roman"/>
          <w:u w:color="000000" w:themeColor="text1"/>
        </w:rPr>
        <w:noBreakHyphen/>
      </w:r>
      <w:r w:rsidRPr="00FB598B">
        <w:rPr>
          <w:rFonts w:cs="Times New Roman"/>
          <w:u w:color="000000" w:themeColor="text1"/>
        </w:rPr>
        <w:t>through entity</w:t>
      </w:r>
      <w:r w:rsidRPr="0088700A">
        <w:rPr>
          <w:rFonts w:cs="Times New Roman"/>
          <w:u w:color="000000" w:themeColor="text1"/>
        </w:rPr>
        <w:t>’</w:t>
      </w:r>
      <w:r w:rsidRPr="00FB598B">
        <w:rPr>
          <w:rFonts w:cs="Times New Roman"/>
          <w:u w:color="000000" w:themeColor="text1"/>
        </w:rPr>
        <w:t xml:space="preserve"> means a partnership, an S</w:t>
      </w:r>
      <w:r>
        <w:rPr>
          <w:rFonts w:cs="Times New Roman"/>
          <w:u w:color="000000" w:themeColor="text1"/>
        </w:rPr>
        <w:noBreakHyphen/>
      </w:r>
      <w:r w:rsidRPr="00FB598B">
        <w:rPr>
          <w:rFonts w:cs="Times New Roman"/>
          <w:u w:color="000000" w:themeColor="text1"/>
        </w:rPr>
        <w:t>corporation, or a limited liability company taxed as a partnership.</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(5)</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Qualified business</w:t>
      </w:r>
      <w:r w:rsidRPr="0088700A">
        <w:rPr>
          <w:rFonts w:cs="Times New Roman"/>
          <w:u w:color="000000" w:themeColor="text1"/>
        </w:rPr>
        <w:t>’</w:t>
      </w:r>
      <w:r w:rsidRPr="00FB598B">
        <w:rPr>
          <w:rFonts w:cs="Times New Roman"/>
          <w:u w:color="000000" w:themeColor="text1"/>
        </w:rPr>
        <w:t xml:space="preserve"> means a registered business that:</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(a)</w:t>
      </w:r>
      <w:r w:rsidRPr="00FB598B">
        <w:rPr>
          <w:rFonts w:cs="Times New Roman"/>
          <w:u w:color="000000" w:themeColor="text1"/>
        </w:rPr>
        <w:tab/>
        <w:t>is either a corporation, limited liability company, or a general or limited partnership located in this State and has its headquarters located in this State at the time the investment was made and has maintained these headquarters for the entire time the qualified business benefitted from the tax credit provided for pursuant to this section;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(b)</w:t>
      </w:r>
      <w:r w:rsidRPr="00FB598B">
        <w:rPr>
          <w:rFonts w:cs="Times New Roman"/>
          <w:u w:color="000000" w:themeColor="text1"/>
        </w:rPr>
        <w:tab/>
        <w:t>was organized no more than five years before the qualified investment was made;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(c)</w:t>
      </w:r>
      <w:r w:rsidRPr="00FB598B">
        <w:rPr>
          <w:rFonts w:cs="Times New Roman"/>
          <w:u w:color="000000" w:themeColor="text1"/>
        </w:rPr>
        <w:tab/>
        <w:t>employs twenty</w:t>
      </w:r>
      <w:r>
        <w:rPr>
          <w:rFonts w:cs="Times New Roman"/>
          <w:u w:color="000000" w:themeColor="text1"/>
        </w:rPr>
        <w:noBreakHyphen/>
      </w:r>
      <w:r w:rsidRPr="00FB598B">
        <w:rPr>
          <w:rFonts w:cs="Times New Roman"/>
          <w:u w:color="000000" w:themeColor="text1"/>
        </w:rPr>
        <w:t>five or fewer people in this State at the time it is registered as a qualified business;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(d)</w:t>
      </w:r>
      <w:r w:rsidRPr="00FB598B">
        <w:rPr>
          <w:rFonts w:cs="Times New Roman"/>
          <w:u w:color="000000" w:themeColor="text1"/>
        </w:rPr>
        <w:tab/>
        <w:t>has had in any complete fiscal year before registration gross income as determined in accordance with the Internal Revenue Code of two million dollars or less on a consolidated basis;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(e)</w:t>
      </w:r>
      <w:r w:rsidRPr="00FB598B">
        <w:rPr>
          <w:rFonts w:cs="Times New Roman"/>
          <w:u w:color="000000" w:themeColor="text1"/>
        </w:rPr>
        <w:tab/>
        <w:t>is primarily engaged in manufacturing, processing, warehousing, wholesaling, software development, information technology services, research and development, or a business providing services set forth in Section 12</w:t>
      </w:r>
      <w:r>
        <w:rPr>
          <w:rFonts w:cs="Times New Roman"/>
          <w:u w:color="000000" w:themeColor="text1"/>
        </w:rPr>
        <w:noBreakHyphen/>
      </w:r>
      <w:r w:rsidRPr="00FB598B">
        <w:rPr>
          <w:rFonts w:cs="Times New Roman"/>
          <w:u w:color="000000" w:themeColor="text1"/>
        </w:rPr>
        <w:t>6</w:t>
      </w:r>
      <w:r>
        <w:rPr>
          <w:rFonts w:cs="Times New Roman"/>
          <w:u w:color="000000" w:themeColor="text1"/>
        </w:rPr>
        <w:noBreakHyphen/>
      </w:r>
      <w:r w:rsidRPr="00FB598B">
        <w:rPr>
          <w:rFonts w:cs="Times New Roman"/>
          <w:u w:color="000000" w:themeColor="text1"/>
        </w:rPr>
        <w:t>3360(M)(13), other than those described in subitem (f); and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(f)</w:t>
      </w:r>
      <w:r w:rsidRPr="00FB598B">
        <w:rPr>
          <w:rFonts w:cs="Times New Roman"/>
          <w:u w:color="000000" w:themeColor="text1"/>
        </w:rPr>
        <w:tab/>
        <w:t>does not engage substantially in: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(i)</w:t>
      </w:r>
      <w:r w:rsidRPr="00FB598B">
        <w:rPr>
          <w:rFonts w:cs="Times New Roman"/>
          <w:u w:color="000000" w:themeColor="text1"/>
        </w:rPr>
        <w:tab/>
      </w:r>
      <w:r w:rsidRPr="00FB598B">
        <w:rPr>
          <w:rFonts w:cs="Times New Roman"/>
          <w:u w:color="000000" w:themeColor="text1"/>
        </w:rPr>
        <w:tab/>
        <w:t>retail sales;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(ii)</w:t>
      </w:r>
      <w:r w:rsidRPr="00FB598B">
        <w:rPr>
          <w:rFonts w:cs="Times New Roman"/>
          <w:u w:color="000000" w:themeColor="text1"/>
        </w:rPr>
        <w:tab/>
        <w:t>real estate or construction;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(iii)</w:t>
      </w:r>
      <w:r w:rsidRPr="00FB598B">
        <w:rPr>
          <w:rFonts w:cs="Times New Roman"/>
          <w:u w:color="000000" w:themeColor="text1"/>
        </w:rPr>
        <w:tab/>
        <w:t>professional services;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(iv)</w:t>
      </w:r>
      <w:r w:rsidRPr="00FB598B">
        <w:rPr>
          <w:rFonts w:cs="Times New Roman"/>
          <w:u w:color="000000" w:themeColor="text1"/>
        </w:rPr>
        <w:tab/>
        <w:t>gambling;</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(v)</w:t>
      </w:r>
      <w:r w:rsidRPr="00FB598B">
        <w:rPr>
          <w:rFonts w:cs="Times New Roman"/>
          <w:u w:color="000000" w:themeColor="text1"/>
        </w:rPr>
        <w:tab/>
        <w:t>natural resource extraction;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(vi)</w:t>
      </w:r>
      <w:r w:rsidRPr="00FB598B">
        <w:rPr>
          <w:rFonts w:cs="Times New Roman"/>
          <w:u w:color="000000" w:themeColor="text1"/>
        </w:rPr>
        <w:tab/>
        <w:t>financial brokerage, investment activities, or insurance;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r>
      <w:r w:rsidRPr="00FB598B">
        <w:rPr>
          <w:rFonts w:cs="Times New Roman"/>
          <w:u w:color="000000" w:themeColor="text1"/>
        </w:rPr>
        <w:tab/>
        <w:t>(vii)</w:t>
      </w:r>
      <w:r w:rsidRPr="00FB598B">
        <w:rPr>
          <w:rFonts w:cs="Times New Roman"/>
          <w:u w:color="000000" w:themeColor="text1"/>
        </w:rPr>
        <w:tab/>
        <w:t>entertainment, amusement, recreation, or athletic or fitness activity for which an admission or fee is charged.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A business is substantially engaged in one of the activities defined in subitem (f) if its gross revenue from an activity exceeds twenty</w:t>
      </w:r>
      <w:r>
        <w:rPr>
          <w:rFonts w:cs="Times New Roman"/>
          <w:u w:color="000000" w:themeColor="text1"/>
        </w:rPr>
        <w:noBreakHyphen/>
      </w:r>
      <w:r w:rsidRPr="00FB598B">
        <w:rPr>
          <w:rFonts w:cs="Times New Roman"/>
          <w:u w:color="000000" w:themeColor="text1"/>
        </w:rPr>
        <w:t>five percent of its gross revenues in a fiscal year or it is established pursuant to its articles of incorporation, articles of organization, operating agreement, or similar organizational documents to engage as one of its primary purposes such activity.</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(6)</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Qualified investment</w:t>
      </w:r>
      <w:r w:rsidRPr="0088700A">
        <w:rPr>
          <w:rFonts w:cs="Times New Roman"/>
          <w:u w:color="000000" w:themeColor="text1"/>
        </w:rPr>
        <w:t>’</w:t>
      </w:r>
      <w:r w:rsidRPr="00FB598B">
        <w:rPr>
          <w:rFonts w:cs="Times New Roman"/>
          <w:u w:color="000000" w:themeColor="text1"/>
        </w:rPr>
        <w:t xml:space="preserve"> means an investment by an angel investor of cash in a qualified business for common or preferred stock or an equity interest or a purchase for cash of subordinated debt in a qualified business</w:t>
      </w:r>
      <w:r w:rsidRPr="00FB598B">
        <w:rPr>
          <w:u w:color="000000" w:themeColor="text1"/>
        </w:rPr>
        <w:t xml:space="preserve">.  </w:t>
      </w:r>
      <w:r w:rsidRPr="00FB598B">
        <w:rPr>
          <w:rFonts w:cs="Times New Roman"/>
          <w:u w:color="000000" w:themeColor="text1"/>
        </w:rPr>
        <w:t>Investment of common or preferred stock or an equity interest or purchase of subordinated debt does not qualify as a qualified investment if a broker fee or commission or a similar remuneration is paid or given directly or indirectly for soliciting an investment or a purchase.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(7)</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Registered</w:t>
      </w:r>
      <w:r w:rsidRPr="0088700A">
        <w:rPr>
          <w:rFonts w:cs="Times New Roman"/>
          <w:u w:color="000000" w:themeColor="text1"/>
        </w:rPr>
        <w:t>’</w:t>
      </w:r>
      <w:r w:rsidRPr="00FB598B">
        <w:rPr>
          <w:rFonts w:cs="Times New Roman"/>
          <w:u w:color="000000" w:themeColor="text1"/>
        </w:rPr>
        <w:t xml:space="preserve"> or </w:t>
      </w:r>
      <w:r w:rsidRPr="0088700A">
        <w:rPr>
          <w:rFonts w:cs="Times New Roman"/>
          <w:u w:color="000000" w:themeColor="text1"/>
        </w:rPr>
        <w:t>‘</w:t>
      </w:r>
      <w:r w:rsidRPr="00FB598B">
        <w:rPr>
          <w:rFonts w:cs="Times New Roman"/>
          <w:u w:color="000000" w:themeColor="text1"/>
        </w:rPr>
        <w:t>registration</w:t>
      </w:r>
      <w:r w:rsidRPr="0088700A">
        <w:rPr>
          <w:rFonts w:cs="Times New Roman"/>
          <w:u w:color="000000" w:themeColor="text1"/>
        </w:rPr>
        <w:t>’</w:t>
      </w:r>
      <w:r w:rsidRPr="00FB598B">
        <w:rPr>
          <w:rFonts w:cs="Times New Roman"/>
          <w:u w:color="000000" w:themeColor="text1"/>
        </w:rPr>
        <w:t xml:space="preserve"> means that a business has been certified by the Secretary as a qualified business at the time of application to the Secretary.</w:t>
      </w: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(8)</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Secretary</w:t>
      </w:r>
      <w:r w:rsidRPr="0088700A">
        <w:rPr>
          <w:rFonts w:cs="Times New Roman"/>
          <w:u w:color="000000" w:themeColor="text1"/>
        </w:rPr>
        <w:t>’</w:t>
      </w:r>
      <w:r w:rsidRPr="00FB598B">
        <w:rPr>
          <w:rFonts w:cs="Times New Roman"/>
          <w:u w:color="000000" w:themeColor="text1"/>
        </w:rPr>
        <w:t xml:space="preserve"> means the Secretary of State.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t>40.</w:t>
      </w:r>
      <w:r>
        <w:rPr>
          <w:rFonts w:cs="Times New Roman"/>
          <w:u w:color="000000" w:themeColor="text1"/>
        </w:rPr>
        <w:tab/>
      </w:r>
      <w:r w:rsidRPr="00FB598B">
        <w:rPr>
          <w:rFonts w:cs="Times New Roman"/>
          <w:u w:color="000000" w:themeColor="text1"/>
        </w:rPr>
        <w:t>(A)</w:t>
      </w:r>
      <w:r w:rsidRPr="00FB598B">
        <w:rPr>
          <w:rFonts w:cs="Times New Roman"/>
          <w:u w:color="000000" w:themeColor="text1"/>
        </w:rPr>
        <w:tab/>
        <w:t>An angel investor is entitled to a nonrefundable income tax credit of thirty</w:t>
      </w:r>
      <w:r>
        <w:rPr>
          <w:rFonts w:cs="Times New Roman"/>
          <w:u w:color="000000" w:themeColor="text1"/>
        </w:rPr>
        <w:noBreakHyphen/>
      </w:r>
      <w:r w:rsidRPr="00FB598B">
        <w:rPr>
          <w:rFonts w:cs="Times New Roman"/>
          <w:u w:color="000000" w:themeColor="text1"/>
        </w:rPr>
        <w:t>five percent of its qualified investment made pursuant to this chapter.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(B)</w:t>
      </w:r>
      <w:r w:rsidRPr="00FB598B">
        <w:rPr>
          <w:rFonts w:cs="Times New Roman"/>
          <w:u w:color="000000" w:themeColor="text1"/>
        </w:rPr>
        <w:tab/>
        <w:t>Fifty percent of the allowed credit may be applied to the angel investor</w:t>
      </w:r>
      <w:r w:rsidRPr="0088700A">
        <w:rPr>
          <w:rFonts w:cs="Times New Roman"/>
          <w:u w:color="000000" w:themeColor="text1"/>
        </w:rPr>
        <w:t>’</w:t>
      </w:r>
      <w:r w:rsidRPr="00FB598B">
        <w:rPr>
          <w:rFonts w:cs="Times New Roman"/>
          <w:u w:color="000000" w:themeColor="text1"/>
        </w:rPr>
        <w:t>s net income tax liability in the tax year during which the qualified investment is made, and fifty percent of the allowed credit may be applied to the angel investor</w:t>
      </w:r>
      <w:r w:rsidRPr="0088700A">
        <w:rPr>
          <w:rFonts w:cs="Times New Roman"/>
          <w:u w:color="000000" w:themeColor="text1"/>
        </w:rPr>
        <w:t>’</w:t>
      </w:r>
      <w:r w:rsidRPr="00FB598B">
        <w:rPr>
          <w:rFonts w:cs="Times New Roman"/>
          <w:u w:color="000000" w:themeColor="text1"/>
        </w:rPr>
        <w:t>s net income tax liability in the tax years after the qualified investment is made and may be carried forward for a period not to exceed ten years for these purposes as provided in 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50.</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(C)</w:t>
      </w:r>
      <w:r w:rsidRPr="00FB598B">
        <w:rPr>
          <w:rFonts w:cs="Times New Roman"/>
          <w:u w:color="000000" w:themeColor="text1"/>
        </w:rPr>
        <w:tab/>
        <w:t>For any pass</w:t>
      </w:r>
      <w:r>
        <w:rPr>
          <w:rFonts w:cs="Times New Roman"/>
          <w:u w:color="000000" w:themeColor="text1"/>
        </w:rPr>
        <w:noBreakHyphen/>
      </w:r>
      <w:r w:rsidRPr="00FB598B">
        <w:rPr>
          <w:rFonts w:cs="Times New Roman"/>
          <w:u w:color="000000" w:themeColor="text1"/>
        </w:rPr>
        <w:t>through entity making a qualified investment directly in a qualified business, each individual who is a shareholder, partner, or member of the entity must be allocated the credit allowed the pass</w:t>
      </w:r>
      <w:r>
        <w:rPr>
          <w:rFonts w:cs="Times New Roman"/>
          <w:u w:color="000000" w:themeColor="text1"/>
        </w:rPr>
        <w:noBreakHyphen/>
      </w:r>
      <w:r w:rsidRPr="00FB598B">
        <w:rPr>
          <w:rFonts w:cs="Times New Roman"/>
          <w:u w:color="000000" w:themeColor="text1"/>
        </w:rPr>
        <w:t>through entity in an amount determined in the same manner as the proportionate shares of income or loss of such pass</w:t>
      </w:r>
      <w:r>
        <w:rPr>
          <w:rFonts w:cs="Times New Roman"/>
          <w:u w:color="000000" w:themeColor="text1"/>
        </w:rPr>
        <w:noBreakHyphen/>
      </w:r>
      <w:r w:rsidRPr="00FB598B">
        <w:rPr>
          <w:rFonts w:cs="Times New Roman"/>
          <w:u w:color="000000" w:themeColor="text1"/>
        </w:rPr>
        <w:t>through entity would be determined</w:t>
      </w:r>
      <w:r w:rsidRPr="00FB598B">
        <w:rPr>
          <w:u w:color="000000" w:themeColor="text1"/>
        </w:rPr>
        <w:t xml:space="preserve">.  </w:t>
      </w:r>
      <w:r w:rsidRPr="00FB598B">
        <w:rPr>
          <w:rFonts w:cs="Times New Roman"/>
          <w:u w:color="000000" w:themeColor="text1"/>
        </w:rPr>
        <w:t>The pass</w:t>
      </w:r>
      <w:r>
        <w:rPr>
          <w:rFonts w:cs="Times New Roman"/>
          <w:u w:color="000000" w:themeColor="text1"/>
        </w:rPr>
        <w:noBreakHyphen/>
      </w:r>
      <w:r w:rsidRPr="00FB598B">
        <w:rPr>
          <w:rFonts w:cs="Times New Roman"/>
          <w:u w:color="000000" w:themeColor="text1"/>
        </w:rPr>
        <w:t>through entity must make an irrevocable election with the Department of Revenue as to the manner in which the credit is allocated</w:t>
      </w:r>
      <w:r w:rsidRPr="00FB598B">
        <w:rPr>
          <w:u w:color="000000" w:themeColor="text1"/>
        </w:rPr>
        <w:t xml:space="preserve">.  </w:t>
      </w:r>
      <w:r w:rsidRPr="00FB598B">
        <w:rPr>
          <w:rFonts w:cs="Times New Roman"/>
          <w:u w:color="000000" w:themeColor="text1"/>
        </w:rPr>
        <w:t>If an individual</w:t>
      </w:r>
      <w:r w:rsidRPr="0088700A">
        <w:rPr>
          <w:rFonts w:cs="Times New Roman"/>
          <w:u w:color="000000" w:themeColor="text1"/>
        </w:rPr>
        <w:t>’</w:t>
      </w:r>
      <w:r w:rsidRPr="00FB598B">
        <w:rPr>
          <w:rFonts w:cs="Times New Roman"/>
          <w:u w:color="000000" w:themeColor="text1"/>
        </w:rPr>
        <w:t>s share of the pass</w:t>
      </w:r>
      <w:r>
        <w:rPr>
          <w:rFonts w:cs="Times New Roman"/>
          <w:u w:color="000000" w:themeColor="text1"/>
        </w:rPr>
        <w:noBreakHyphen/>
      </w:r>
      <w:r w:rsidRPr="00FB598B">
        <w:rPr>
          <w:rFonts w:cs="Times New Roman"/>
          <w:u w:color="000000" w:themeColor="text1"/>
        </w:rPr>
        <w:t>through entity</w:t>
      </w:r>
      <w:r w:rsidRPr="0088700A">
        <w:rPr>
          <w:rFonts w:cs="Times New Roman"/>
          <w:u w:color="000000" w:themeColor="text1"/>
        </w:rPr>
        <w:t>’</w:t>
      </w:r>
      <w:r w:rsidRPr="00FB598B">
        <w:rPr>
          <w:rFonts w:cs="Times New Roman"/>
          <w:u w:color="000000" w:themeColor="text1"/>
        </w:rPr>
        <w:t>s credit is limited due to the maximum allowable credit under this chapter for a taxable year, the pass</w:t>
      </w:r>
      <w:r>
        <w:rPr>
          <w:rFonts w:cs="Times New Roman"/>
          <w:u w:color="000000" w:themeColor="text1"/>
        </w:rPr>
        <w:noBreakHyphen/>
      </w:r>
      <w:r w:rsidRPr="00FB598B">
        <w:rPr>
          <w:rFonts w:cs="Times New Roman"/>
          <w:u w:color="000000" w:themeColor="text1"/>
        </w:rPr>
        <w:t>through entity and its owners may not reallocate the unused credit among the other owners.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50.</w:t>
      </w:r>
      <w:r w:rsidRPr="00FB598B">
        <w:rPr>
          <w:rFonts w:cs="Times New Roman"/>
          <w:u w:color="000000" w:themeColor="text1"/>
        </w:rPr>
        <w:tab/>
        <w:t>Tax credits claimed pursuant to this chapter are subject to the following conditions and limitations: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(1)</w:t>
      </w:r>
      <w:r w:rsidRPr="00FB598B">
        <w:rPr>
          <w:rFonts w:cs="Times New Roman"/>
          <w:u w:color="000000" w:themeColor="text1"/>
        </w:rPr>
        <w:tab/>
        <w:t>the total amount of credits allowed pursuant to this chapter may not exceed in the aggregate five million dollars for all taxpayers for any one calendar year;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(2)</w:t>
      </w:r>
      <w:r w:rsidRPr="00FB598B">
        <w:rPr>
          <w:rFonts w:cs="Times New Roman"/>
          <w:u w:color="000000" w:themeColor="text1"/>
        </w:rPr>
        <w:tab/>
        <w:t>the aggregate amount of credit allowed an individual for one or more qualified investments in a single taxable year under this chapter, whether made directly or by a pass</w:t>
      </w:r>
      <w:r>
        <w:rPr>
          <w:rFonts w:cs="Times New Roman"/>
          <w:u w:color="000000" w:themeColor="text1"/>
        </w:rPr>
        <w:noBreakHyphen/>
      </w:r>
      <w:r w:rsidRPr="00FB598B">
        <w:rPr>
          <w:rFonts w:cs="Times New Roman"/>
          <w:u w:color="000000" w:themeColor="text1"/>
        </w:rPr>
        <w:t>through entity and allocated to an individual, shall not exceed one hundred thousand dollars each year, not including any carry forward credits;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(3)</w:t>
      </w:r>
      <w:r w:rsidRPr="00FB598B">
        <w:rPr>
          <w:rFonts w:cs="Times New Roman"/>
          <w:u w:color="000000" w:themeColor="text1"/>
        </w:rPr>
        <w:tab/>
        <w:t>the amount of the tax credit allowed an individual under this chapter for a taxable year shall not exceed an individual</w:t>
      </w:r>
      <w:r w:rsidRPr="0088700A">
        <w:rPr>
          <w:rFonts w:cs="Times New Roman"/>
          <w:u w:color="000000" w:themeColor="text1"/>
        </w:rPr>
        <w:t>’</w:t>
      </w:r>
      <w:r w:rsidRPr="00FB598B">
        <w:rPr>
          <w:rFonts w:cs="Times New Roman"/>
          <w:u w:color="000000" w:themeColor="text1"/>
        </w:rPr>
        <w:t>s net income tax liability</w:t>
      </w:r>
      <w:r w:rsidRPr="00FB598B">
        <w:rPr>
          <w:u w:color="000000" w:themeColor="text1"/>
        </w:rPr>
        <w:t xml:space="preserve">.  </w:t>
      </w:r>
      <w:r w:rsidRPr="00FB598B">
        <w:rPr>
          <w:rFonts w:cs="Times New Roman"/>
          <w:u w:color="000000" w:themeColor="text1"/>
        </w:rPr>
        <w:t>An unused credit amount is allowed to be carried forward for ten years from the close of the taxable year in which the qualified investment was made</w:t>
      </w:r>
      <w:r w:rsidRPr="00FB598B">
        <w:rPr>
          <w:u w:color="000000" w:themeColor="text1"/>
        </w:rPr>
        <w:t xml:space="preserve">.  </w:t>
      </w:r>
      <w:r w:rsidRPr="00FB598B">
        <w:rPr>
          <w:rFonts w:cs="Times New Roman"/>
          <w:u w:color="000000" w:themeColor="text1"/>
        </w:rPr>
        <w:t>Credit is not allowed against prior years</w:t>
      </w:r>
      <w:r w:rsidRPr="0088700A">
        <w:rPr>
          <w:rFonts w:cs="Times New Roman"/>
          <w:u w:color="000000" w:themeColor="text1"/>
        </w:rPr>
        <w:t>’</w:t>
      </w:r>
      <w:r w:rsidRPr="00FB598B">
        <w:rPr>
          <w:rFonts w:cs="Times New Roman"/>
          <w:u w:color="000000" w:themeColor="text1"/>
        </w:rPr>
        <w:t xml:space="preserve"> tax liability;</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(4)</w:t>
      </w:r>
      <w:r w:rsidRPr="00FB598B">
        <w:rPr>
          <w:rFonts w:cs="Times New Roman"/>
          <w:u w:color="000000" w:themeColor="text1"/>
        </w:rPr>
        <w:tab/>
        <w:t xml:space="preserve">the credit is transferrable by the angel investor to his heirs and legatees upon his or her death and to his or her spouse or incident to divorce; </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(5)</w:t>
      </w:r>
      <w:r w:rsidRPr="00FB598B">
        <w:rPr>
          <w:rFonts w:cs="Times New Roman"/>
          <w:u w:color="000000" w:themeColor="text1"/>
        </w:rPr>
        <w:tab/>
        <w:t>the credit may be sold, exchanged, or otherwise transferred, and may be carried forward for a period of ten taxable years following the taxable year in which the credit originated until fully expended</w:t>
      </w:r>
      <w:r w:rsidRPr="00FB598B">
        <w:rPr>
          <w:u w:color="000000" w:themeColor="text1"/>
        </w:rPr>
        <w:t xml:space="preserve">.  </w:t>
      </w:r>
      <w:r w:rsidRPr="00FB598B">
        <w:rPr>
          <w:rFonts w:cs="Times New Roman"/>
          <w:u w:color="000000" w:themeColor="text1"/>
        </w:rPr>
        <w:t>A tax credit or increment of a tax credit may be transferred only once</w:t>
      </w:r>
      <w:r w:rsidRPr="00FB598B">
        <w:rPr>
          <w:u w:color="000000" w:themeColor="text1"/>
        </w:rPr>
        <w:t xml:space="preserve">.  </w:t>
      </w:r>
      <w:r w:rsidRPr="00FB598B">
        <w:rPr>
          <w:rFonts w:cs="Times New Roman"/>
          <w:u w:color="000000" w:themeColor="text1"/>
        </w:rPr>
        <w:t>The credit may be transferred to any taxpayer</w:t>
      </w:r>
      <w:r w:rsidRPr="00FB598B">
        <w:rPr>
          <w:u w:color="000000" w:themeColor="text1"/>
        </w:rPr>
        <w:t xml:space="preserve">.  </w:t>
      </w:r>
      <w:r w:rsidRPr="00FB598B">
        <w:rPr>
          <w:rFonts w:cs="Times New Roman"/>
          <w:u w:color="000000" w:themeColor="text1"/>
        </w:rPr>
        <w:t>A taxpayer to whom a credit has been transferred may use the credit for the taxable year in which the transfer occurred and unused amounts may be carried forward to succeeding taxable years, but the transferred credit may not be used more than ten years after it was originally issued; and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(6)</w:t>
      </w:r>
      <w:r w:rsidRPr="00FB598B">
        <w:rPr>
          <w:rFonts w:cs="Times New Roman"/>
          <w:u w:color="000000" w:themeColor="text1"/>
        </w:rPr>
        <w:tab/>
        <w:t>the Department of Revenue may develop procedures for the transfer of the credits.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60.</w:t>
      </w:r>
      <w:r w:rsidRPr="00FB598B">
        <w:rPr>
          <w:rFonts w:cs="Times New Roman"/>
          <w:u w:color="000000" w:themeColor="text1"/>
        </w:rPr>
        <w:tab/>
        <w:t>(A)</w:t>
      </w:r>
      <w:r w:rsidRPr="00FB598B">
        <w:rPr>
          <w:rFonts w:cs="Times New Roman"/>
          <w:u w:color="000000" w:themeColor="text1"/>
        </w:rPr>
        <w:tab/>
        <w:t>A qualified business shall register with the Secretary for purposes of this chapter</w:t>
      </w:r>
      <w:r w:rsidRPr="00FB598B">
        <w:rPr>
          <w:u w:color="000000" w:themeColor="text1"/>
        </w:rPr>
        <w:t xml:space="preserve">.  </w:t>
      </w:r>
      <w:r w:rsidRPr="00FB598B">
        <w:rPr>
          <w:rFonts w:cs="Times New Roman"/>
          <w:u w:color="000000" w:themeColor="text1"/>
        </w:rPr>
        <w:t>Approval of this registration constitutes certification by the Secretary for twelve months after being issued</w:t>
      </w:r>
      <w:r w:rsidRPr="00FB598B">
        <w:rPr>
          <w:u w:color="000000" w:themeColor="text1"/>
        </w:rPr>
        <w:t xml:space="preserve">.  </w:t>
      </w:r>
      <w:r w:rsidRPr="00FB598B">
        <w:rPr>
          <w:rFonts w:cs="Times New Roman"/>
          <w:u w:color="000000" w:themeColor="text1"/>
        </w:rPr>
        <w:t xml:space="preserve">A business is permitted to renew its registration with the </w:t>
      </w:r>
      <w:r w:rsidRPr="00B91994">
        <w:rPr>
          <w:rFonts w:cs="Times New Roman"/>
          <w:u w:color="000000" w:themeColor="text1"/>
        </w:rPr>
        <w:t>Secretary</w:t>
      </w:r>
      <w:r w:rsidRPr="00FB598B">
        <w:rPr>
          <w:rFonts w:cs="Times New Roman"/>
          <w:u w:color="000000" w:themeColor="text1"/>
        </w:rPr>
        <w:t xml:space="preserve"> so long as, at the time of renewal, the business remains a qualified business</w:t>
      </w:r>
      <w:r w:rsidRPr="00FB598B">
        <w:rPr>
          <w:u w:color="000000" w:themeColor="text1"/>
        </w:rPr>
        <w:t xml:space="preserve">.  </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(B)</w:t>
      </w:r>
      <w:r w:rsidRPr="00FB598B">
        <w:rPr>
          <w:rFonts w:cs="Times New Roman"/>
          <w:u w:color="000000" w:themeColor="text1"/>
        </w:rPr>
        <w:tab/>
        <w:t>If the Secretary finds that any information contained in an application of a business for registration under this chapter is false, the Secretary shall revoke the registration of the business</w:t>
      </w:r>
      <w:r w:rsidRPr="00FB598B">
        <w:rPr>
          <w:u w:color="000000" w:themeColor="text1"/>
        </w:rPr>
        <w:t xml:space="preserve">.  </w:t>
      </w:r>
      <w:r w:rsidRPr="00FB598B">
        <w:rPr>
          <w:rFonts w:cs="Times New Roman"/>
          <w:u w:color="000000" w:themeColor="text1"/>
        </w:rPr>
        <w:t>The Secretary shall not revoke the registration of a business only because it ceases business operations for an indefinite period of time, as long as the business renews its registration.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(C)</w:t>
      </w:r>
      <w:r w:rsidRPr="00FB598B">
        <w:rPr>
          <w:rFonts w:cs="Times New Roman"/>
          <w:u w:color="000000" w:themeColor="text1"/>
        </w:rPr>
        <w:tab/>
        <w:t>A registration as a qualified business may not be sold or otherwise transferred, except that, if a qualified business enters into a merger, conversion, consolidation, or other similar transaction with another business and the surviving company would otherwise meet the criteria for being a qualified business, the surviving company retains the registration for the twelve</w:t>
      </w:r>
      <w:r>
        <w:rPr>
          <w:rFonts w:cs="Times New Roman"/>
          <w:u w:color="000000" w:themeColor="text1"/>
        </w:rPr>
        <w:noBreakHyphen/>
      </w:r>
      <w:r w:rsidRPr="00FB598B">
        <w:rPr>
          <w:rFonts w:cs="Times New Roman"/>
          <w:u w:color="000000" w:themeColor="text1"/>
        </w:rPr>
        <w:t xml:space="preserve">month registration period without further application to the </w:t>
      </w:r>
      <w:r w:rsidRPr="00B91994">
        <w:rPr>
          <w:rFonts w:cs="Times New Roman"/>
          <w:u w:color="000000" w:themeColor="text1"/>
        </w:rPr>
        <w:t>Secretary</w:t>
      </w:r>
      <w:r w:rsidRPr="00FB598B">
        <w:rPr>
          <w:u w:color="000000" w:themeColor="text1"/>
        </w:rPr>
        <w:t xml:space="preserve">.  </w:t>
      </w:r>
      <w:r w:rsidRPr="00FB598B">
        <w:rPr>
          <w:rFonts w:cs="Times New Roman"/>
          <w:u w:color="000000" w:themeColor="text1"/>
        </w:rPr>
        <w:t xml:space="preserve">In this case, the qualified business shall provide the </w:t>
      </w:r>
      <w:r w:rsidRPr="00B91994">
        <w:rPr>
          <w:rFonts w:cs="Times New Roman"/>
          <w:u w:color="000000" w:themeColor="text1"/>
        </w:rPr>
        <w:t>Secretary</w:t>
      </w:r>
      <w:r w:rsidRPr="00FB598B">
        <w:rPr>
          <w:rFonts w:cs="Times New Roman"/>
          <w:u w:color="000000" w:themeColor="text1"/>
        </w:rPr>
        <w:t xml:space="preserve"> with written notice of the merger, conversion, consolidation, or similar transaction and other information as required by the </w:t>
      </w:r>
      <w:r w:rsidRPr="00B91994">
        <w:rPr>
          <w:rFonts w:cs="Times New Roman"/>
          <w:u w:color="000000" w:themeColor="text1"/>
        </w:rPr>
        <w:t>Secretary</w:t>
      </w:r>
      <w:r w:rsidRPr="00FB598B">
        <w:rPr>
          <w:rFonts w:cs="Times New Roman"/>
          <w:u w:color="000000" w:themeColor="text1"/>
        </w:rPr>
        <w:t>.</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rPr>
        <w:t>(D)</w:t>
      </w:r>
      <w:r w:rsidRPr="00FB598B">
        <w:rPr>
          <w:rFonts w:cs="Times New Roman"/>
        </w:rPr>
        <w:tab/>
      </w:r>
      <w:r w:rsidRPr="00FB598B">
        <w:rPr>
          <w:rFonts w:cs="Times New Roman"/>
          <w:u w:color="000000" w:themeColor="text1"/>
        </w:rPr>
        <w:t>By January thirty</w:t>
      </w:r>
      <w:r>
        <w:rPr>
          <w:rFonts w:cs="Times New Roman"/>
          <w:u w:color="000000" w:themeColor="text1"/>
        </w:rPr>
        <w:noBreakHyphen/>
      </w:r>
      <w:r w:rsidRPr="00FB598B">
        <w:rPr>
          <w:rFonts w:cs="Times New Roman"/>
          <w:u w:color="000000" w:themeColor="text1"/>
        </w:rPr>
        <w:t xml:space="preserve">first each year, the </w:t>
      </w:r>
      <w:r w:rsidRPr="00B91994">
        <w:rPr>
          <w:rFonts w:cs="Times New Roman"/>
          <w:u w:color="000000" w:themeColor="text1"/>
        </w:rPr>
        <w:t>Secretary</w:t>
      </w:r>
      <w:r w:rsidRPr="00FB598B">
        <w:rPr>
          <w:rFonts w:cs="Times New Roman"/>
          <w:u w:color="000000" w:themeColor="text1"/>
        </w:rPr>
        <w:t xml:space="preserve"> shall report to the House Ways and Means Committee, the Senate Finance Committee, and the Governor, a list of the businesses that have registered with the </w:t>
      </w:r>
      <w:r w:rsidRPr="00B91994">
        <w:rPr>
          <w:rFonts w:cs="Times New Roman"/>
          <w:u w:color="000000" w:themeColor="text1"/>
        </w:rPr>
        <w:t>Secretary</w:t>
      </w:r>
      <w:r w:rsidRPr="00FB598B">
        <w:rPr>
          <w:rFonts w:cs="Times New Roman"/>
          <w:u w:color="000000" w:themeColor="text1"/>
        </w:rPr>
        <w:t xml:space="preserve"> as a qualified business</w:t>
      </w:r>
      <w:r w:rsidRPr="00FB598B">
        <w:rPr>
          <w:u w:color="000000" w:themeColor="text1"/>
        </w:rPr>
        <w:t xml:space="preserve">.  </w:t>
      </w:r>
      <w:r w:rsidRPr="00FB598B">
        <w:rPr>
          <w:rFonts w:cs="Times New Roman"/>
          <w:u w:color="000000" w:themeColor="text1"/>
        </w:rPr>
        <w:t>The report must include, by county, the name and address of each business, the location of its headquarters, a description of the type of business in which it engages, the amount of capital it has raised including the amount of qualified investment as defined by t</w:t>
      </w:r>
      <w:r>
        <w:rPr>
          <w:rFonts w:cs="Times New Roman"/>
          <w:u w:color="000000" w:themeColor="text1"/>
        </w:rPr>
        <w:t>his chapter, the number of full</w:t>
      </w:r>
      <w:r>
        <w:rPr>
          <w:rFonts w:cs="Times New Roman"/>
          <w:u w:color="000000" w:themeColor="text1"/>
        </w:rPr>
        <w:noBreakHyphen/>
        <w:t>time, part</w:t>
      </w:r>
      <w:r>
        <w:rPr>
          <w:rFonts w:cs="Times New Roman"/>
          <w:u w:color="000000" w:themeColor="text1"/>
        </w:rPr>
        <w:noBreakHyphen/>
      </w:r>
      <w:r w:rsidRPr="00FB598B">
        <w:rPr>
          <w:rFonts w:cs="Times New Roman"/>
          <w:u w:color="000000" w:themeColor="text1"/>
        </w:rPr>
        <w:t>time, and temporary jobs created by the business during the period covered by the report, and the average wages paid by these jobs</w:t>
      </w:r>
      <w:r w:rsidRPr="00FB598B">
        <w:rPr>
          <w:u w:color="000000" w:themeColor="text1"/>
        </w:rPr>
        <w:t xml:space="preserve">.  </w:t>
      </w:r>
      <w:r w:rsidRPr="00FB598B">
        <w:rPr>
          <w:rFonts w:cs="Times New Roman"/>
          <w:u w:color="000000" w:themeColor="text1"/>
        </w:rPr>
        <w:t>An aggregated statewide report containing the number of businesses, the amount of capital raised by the businesses including the amount of qualified investment as defined by t</w:t>
      </w:r>
      <w:r>
        <w:rPr>
          <w:rFonts w:cs="Times New Roman"/>
          <w:u w:color="000000" w:themeColor="text1"/>
        </w:rPr>
        <w:t>his chapter, the number of full</w:t>
      </w:r>
      <w:r>
        <w:rPr>
          <w:rFonts w:cs="Times New Roman"/>
          <w:u w:color="000000" w:themeColor="text1"/>
        </w:rPr>
        <w:noBreakHyphen/>
        <w:t>time, part</w:t>
      </w:r>
      <w:r>
        <w:rPr>
          <w:rFonts w:cs="Times New Roman"/>
          <w:u w:color="000000" w:themeColor="text1"/>
        </w:rPr>
        <w:noBreakHyphen/>
      </w:r>
      <w:r w:rsidRPr="00FB598B">
        <w:rPr>
          <w:rFonts w:cs="Times New Roman"/>
          <w:u w:color="000000" w:themeColor="text1"/>
        </w:rPr>
        <w:t xml:space="preserve">time and temporary jobs created by the businesses, and the average wages paid by these jobs also must be made available in a conspicuous place on the </w:t>
      </w:r>
      <w:r w:rsidRPr="00B91994">
        <w:rPr>
          <w:rFonts w:cs="Times New Roman"/>
          <w:u w:color="000000" w:themeColor="text1"/>
        </w:rPr>
        <w:t>Secretary</w:t>
      </w:r>
      <w:r w:rsidRPr="0088700A">
        <w:rPr>
          <w:rFonts w:cs="Times New Roman"/>
          <w:u w:color="000000" w:themeColor="text1"/>
        </w:rPr>
        <w:t>’</w:t>
      </w:r>
      <w:r w:rsidRPr="00FB598B">
        <w:rPr>
          <w:rFonts w:cs="Times New Roman"/>
          <w:u w:color="000000" w:themeColor="text1"/>
        </w:rPr>
        <w:t>s website. The report must be updated annually.</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65.</w:t>
      </w:r>
      <w:r w:rsidRPr="00FB598B">
        <w:rPr>
          <w:rFonts w:cs="Times New Roman"/>
          <w:u w:color="000000" w:themeColor="text1"/>
        </w:rPr>
        <w:tab/>
        <w:t>(A)</w:t>
      </w:r>
      <w:r w:rsidRPr="00FB598B">
        <w:rPr>
          <w:rFonts w:cs="Times New Roman"/>
          <w:u w:color="000000" w:themeColor="text1"/>
        </w:rPr>
        <w:tab/>
        <w:t>For purposes of this section: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(1)</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Angel investor taxpayer</w:t>
      </w:r>
      <w:r w:rsidRPr="0088700A">
        <w:rPr>
          <w:rFonts w:cs="Times New Roman"/>
          <w:u w:color="000000" w:themeColor="text1"/>
        </w:rPr>
        <w:t>’</w:t>
      </w:r>
      <w:r w:rsidRPr="00FB598B">
        <w:rPr>
          <w:rFonts w:cs="Times New Roman"/>
          <w:u w:color="000000" w:themeColor="text1"/>
        </w:rPr>
        <w:t xml:space="preserve"> means a taxpayer who invested in a capital asset and as a result of that investment was eligible to claim the tax credit allowed pursuant to this chapter.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(2)</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Credit asset</w:t>
      </w:r>
      <w:r w:rsidRPr="0088700A">
        <w:rPr>
          <w:rFonts w:cs="Times New Roman"/>
          <w:u w:color="000000" w:themeColor="text1"/>
        </w:rPr>
        <w:t>’</w:t>
      </w:r>
      <w:r w:rsidRPr="00FB598B">
        <w:rPr>
          <w:rFonts w:cs="Times New Roman"/>
          <w:u w:color="000000" w:themeColor="text1"/>
        </w:rPr>
        <w:t xml:space="preserve"> means a capital asset acquired by an angel investor taxpayer who was eligible to claim the tax credit allowed pursuant to this chapter with respect to the acquisition.</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(3)</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Net capital gain</w:t>
      </w:r>
      <w:r w:rsidRPr="0088700A">
        <w:rPr>
          <w:rFonts w:cs="Times New Roman"/>
          <w:u w:color="000000" w:themeColor="text1"/>
        </w:rPr>
        <w:t>’</w:t>
      </w:r>
      <w:r w:rsidRPr="00FB598B">
        <w:rPr>
          <w:rFonts w:cs="Times New Roman"/>
          <w:u w:color="000000" w:themeColor="text1"/>
        </w:rPr>
        <w:t xml:space="preserve"> is as defined in Internal Revenue Code Section 1222 and related sections.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(4)</w:t>
      </w:r>
      <w:r w:rsidRPr="00FB598B">
        <w:rPr>
          <w:rFonts w:cs="Times New Roman"/>
          <w:u w:color="000000" w:themeColor="text1"/>
        </w:rPr>
        <w:tab/>
      </w:r>
      <w:r w:rsidRPr="0088700A">
        <w:rPr>
          <w:rFonts w:cs="Times New Roman"/>
          <w:u w:color="000000" w:themeColor="text1"/>
        </w:rPr>
        <w:t>‘</w:t>
      </w:r>
      <w:r w:rsidRPr="00FB598B">
        <w:rPr>
          <w:rFonts w:cs="Times New Roman"/>
          <w:u w:color="000000" w:themeColor="text1"/>
        </w:rPr>
        <w:t>Net capital loss</w:t>
      </w:r>
      <w:r w:rsidRPr="0088700A">
        <w:rPr>
          <w:rFonts w:cs="Times New Roman"/>
          <w:u w:color="000000" w:themeColor="text1"/>
        </w:rPr>
        <w:t>’</w:t>
      </w:r>
      <w:r w:rsidRPr="00FB598B">
        <w:rPr>
          <w:rFonts w:cs="Times New Roman"/>
          <w:u w:color="000000" w:themeColor="text1"/>
        </w:rPr>
        <w:t xml:space="preserve"> is as defined in Internal Revenue Code Section 1211(b), not including the limitation imposed pursuant to Section 1211(b)(1).</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(B)(1)</w:t>
      </w:r>
      <w:r w:rsidRPr="00FB598B">
        <w:rPr>
          <w:rFonts w:cs="Times New Roman"/>
          <w:u w:color="000000" w:themeColor="text1"/>
        </w:rPr>
        <w:tab/>
        <w:t>If an angel investor taxpayer recognized net capital gain on the sale or exchange of credit assets in a taxable year, then the amount of net capital gain of that taxpayer eligible for the deduction otherwise allowed pursuant to Section 12</w:t>
      </w:r>
      <w:r>
        <w:rPr>
          <w:rFonts w:cs="Times New Roman"/>
          <w:u w:color="000000" w:themeColor="text1"/>
        </w:rPr>
        <w:noBreakHyphen/>
      </w:r>
      <w:r w:rsidRPr="00FB598B">
        <w:rPr>
          <w:rFonts w:cs="Times New Roman"/>
          <w:u w:color="000000" w:themeColor="text1"/>
        </w:rPr>
        <w:t>6</w:t>
      </w:r>
      <w:r>
        <w:rPr>
          <w:rFonts w:cs="Times New Roman"/>
          <w:u w:color="000000" w:themeColor="text1"/>
        </w:rPr>
        <w:noBreakHyphen/>
      </w:r>
      <w:r w:rsidRPr="00FB598B">
        <w:rPr>
          <w:rFonts w:cs="Times New Roman"/>
          <w:u w:color="000000" w:themeColor="text1"/>
        </w:rPr>
        <w:t>1150 must be reduced by the net capital gain on the sale or exchange of credit assets by the angel investor taxpayer.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(2)</w:t>
      </w:r>
      <w:r w:rsidRPr="00FB598B">
        <w:rPr>
          <w:rFonts w:cs="Times New Roman"/>
          <w:u w:color="000000" w:themeColor="text1"/>
        </w:rPr>
        <w:tab/>
        <w:t>In a separate computation in each taxable year the angel investor taxpayer shall attribute the net capital gain on credit assets to each credit asset in the ratio that the long term capital gain on each separate credit asset as a proportion of all such long term gain bears to the net capital gain reduction required pursuant to item (1). If cumulative net capital gain on a credit asset multiplied by seven percent equals the total credit claimed on the credit asset, the excess of the net capital gain attributable to this credit asset over that necessary to produce the total credit amount in the computation is deducted from the reduction otherwise required pursuant to item (1).</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(C)(1)</w:t>
      </w:r>
      <w:r w:rsidRPr="00FB598B">
        <w:rPr>
          <w:rFonts w:cs="Times New Roman"/>
          <w:u w:color="000000" w:themeColor="text1"/>
        </w:rPr>
        <w:tab/>
        <w:t>If an angel investor taxpayer recognized net capital loss on the sale or exchange of credit assets in a taxable year in an amount equal to or less than the total of tax credits claimed on those credit assets, then there is added to the angel investor taxpayer</w:t>
      </w:r>
      <w:r w:rsidRPr="0088700A">
        <w:rPr>
          <w:rFonts w:cs="Times New Roman"/>
          <w:u w:color="000000" w:themeColor="text1"/>
        </w:rPr>
        <w:t>’</w:t>
      </w:r>
      <w:r w:rsidRPr="00FB598B">
        <w:rPr>
          <w:rFonts w:cs="Times New Roman"/>
          <w:u w:color="000000" w:themeColor="text1"/>
        </w:rPr>
        <w:t>s South Carolina taxable income for that taxable year the amount of the net capital loss on those credit assets not to exceed the tax credits claimed on those credit assets.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r>
      <w:r w:rsidRPr="00FB598B">
        <w:rPr>
          <w:rFonts w:cs="Times New Roman"/>
          <w:u w:color="000000" w:themeColor="text1"/>
        </w:rPr>
        <w:tab/>
        <w:t>(2)</w:t>
      </w:r>
      <w:r w:rsidRPr="00FB598B">
        <w:rPr>
          <w:rFonts w:cs="Times New Roman"/>
          <w:u w:color="000000" w:themeColor="text1"/>
        </w:rPr>
        <w:tab/>
        <w:t>If an angel investor taxpayer recognized net capital loss on the sale or exchange of credit assets in a taxable year in an amount greater than the amount of the tax credits claimed on those credit assets, then there is added to the angel investor taxpayer</w:t>
      </w:r>
      <w:r w:rsidRPr="0088700A">
        <w:rPr>
          <w:rFonts w:cs="Times New Roman"/>
          <w:u w:color="000000" w:themeColor="text1"/>
        </w:rPr>
        <w:t>’</w:t>
      </w:r>
      <w:r w:rsidRPr="00FB598B">
        <w:rPr>
          <w:rFonts w:cs="Times New Roman"/>
          <w:u w:color="000000" w:themeColor="text1"/>
        </w:rPr>
        <w:t>s South Carolina taxable income for that taxable year the amount of the tax credit claimed on those credit assets.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70.</w:t>
      </w:r>
      <w:r w:rsidRPr="00FB598B">
        <w:rPr>
          <w:rFonts w:cs="Times New Roman"/>
          <w:u w:color="000000" w:themeColor="text1"/>
        </w:rPr>
        <w:tab/>
        <w:t>(A)</w:t>
      </w:r>
      <w:r w:rsidRPr="00FB598B">
        <w:rPr>
          <w:rFonts w:cs="Times New Roman"/>
          <w:u w:color="000000" w:themeColor="text1"/>
        </w:rPr>
        <w:tab/>
        <w:t>An angel investor seeking to claim a tax credit provided for under this chapter shall submit an application to the Department of Revenue for tentative approval for the tax credit in the year for which the tax credit is claimed or allowed</w:t>
      </w:r>
      <w:r w:rsidRPr="00FB598B">
        <w:rPr>
          <w:u w:color="000000" w:themeColor="text1"/>
        </w:rPr>
        <w:t xml:space="preserve">.  </w:t>
      </w:r>
      <w:r w:rsidRPr="00FB598B">
        <w:rPr>
          <w:rFonts w:cs="Times New Roman"/>
          <w:u w:color="000000" w:themeColor="text1"/>
        </w:rPr>
        <w:t>The Department of Revenue shall provide for the manner in which the application is to be submitted</w:t>
      </w:r>
      <w:r w:rsidRPr="00FB598B">
        <w:rPr>
          <w:u w:color="000000" w:themeColor="text1"/>
        </w:rPr>
        <w:t xml:space="preserve">.  </w:t>
      </w:r>
      <w:r w:rsidRPr="00FB598B">
        <w:rPr>
          <w:rFonts w:cs="Times New Roman"/>
          <w:u w:color="000000" w:themeColor="text1"/>
        </w:rPr>
        <w:t>The Department of Revenue shall review the application and tentatively shall approve the application upon determining that it meets the requirements of this chapter.</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(B)</w:t>
      </w:r>
      <w:r w:rsidRPr="00FB598B">
        <w:rPr>
          <w:rFonts w:cs="Times New Roman"/>
          <w:u w:color="000000" w:themeColor="text1"/>
        </w:rPr>
        <w:tab/>
        <w:t>The Department of Revenue shall provide tentative approval of the applications by the date provided in subsection (C).</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(C)</w:t>
      </w:r>
      <w:r w:rsidRPr="00FB598B">
        <w:rPr>
          <w:rFonts w:cs="Times New Roman"/>
          <w:u w:color="000000" w:themeColor="text1"/>
        </w:rPr>
        <w:tab/>
        <w:t>The Department of Revenue shall notify each qualified investor of the tax credits tentatively approved and allocated to the qualified investor by January thirty</w:t>
      </w:r>
      <w:r>
        <w:rPr>
          <w:rFonts w:cs="Times New Roman"/>
          <w:u w:color="000000" w:themeColor="text1"/>
        </w:rPr>
        <w:noBreakHyphen/>
      </w:r>
      <w:r w:rsidRPr="00FB598B">
        <w:rPr>
          <w:rFonts w:cs="Times New Roman"/>
          <w:u w:color="000000" w:themeColor="text1"/>
        </w:rPr>
        <w:t>first of the year after the application was submitted</w:t>
      </w:r>
      <w:r w:rsidRPr="00FB598B">
        <w:rPr>
          <w:u w:color="000000" w:themeColor="text1"/>
        </w:rPr>
        <w:t xml:space="preserve">.  </w:t>
      </w:r>
      <w:r w:rsidRPr="00FB598B">
        <w:rPr>
          <w:rFonts w:cs="Times New Roman"/>
          <w:u w:color="000000" w:themeColor="text1"/>
        </w:rPr>
        <w:t>If the credit amounts on the tax credit applications filed with the Department of Revenue exceed the maximum aggregate limit of tax credits, then the tax credit must be allocated among the angel investors who filed a timely application on a pro rata basis based upon the amounts otherwise allowed by this chapter</w:t>
      </w:r>
      <w:r w:rsidRPr="00FB598B">
        <w:rPr>
          <w:u w:color="000000" w:themeColor="text1"/>
        </w:rPr>
        <w:t xml:space="preserve">.  </w:t>
      </w:r>
      <w:r w:rsidRPr="00FB598B">
        <w:rPr>
          <w:rFonts w:cs="Times New Roman"/>
          <w:u w:color="000000" w:themeColor="text1"/>
        </w:rPr>
        <w:t>Once the tax credit application has been approved and the amount has been communicated to the applicant, the angel investor then may apply the amount of the approved tax credit to its tax liability for the tax year of which the approved application applies.</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B598B">
        <w:rPr>
          <w:rFonts w:cs="Times New Roman"/>
          <w:u w:color="000000" w:themeColor="text1"/>
        </w:rPr>
        <w:tab/>
      </w:r>
      <w:r w:rsidRPr="00FB598B">
        <w:rPr>
          <w:rFonts w:cs="Times New Roman"/>
        </w:rPr>
        <w:t>(D)</w:t>
      </w:r>
      <w:r w:rsidRPr="00FB598B">
        <w:rPr>
          <w:rFonts w:cs="Times New Roman"/>
        </w:rPr>
        <w:tab/>
        <w:t>By March thirty</w:t>
      </w:r>
      <w:r>
        <w:rPr>
          <w:rFonts w:cs="Times New Roman"/>
        </w:rPr>
        <w:noBreakHyphen/>
      </w:r>
      <w:r w:rsidRPr="00FB598B">
        <w:rPr>
          <w:rFonts w:cs="Times New Roman"/>
        </w:rPr>
        <w:t>first each year, the Department of Revenue shall report to the House Ways and Means Committee, the Senate Finance Committee, and the Governor, by county, the number of angel investor tax credit applications the department has received, the number of tax credit applications approved, and the tax credits approved</w:t>
      </w:r>
      <w:r w:rsidRPr="00FB598B">
        <w:t xml:space="preserve">.  </w:t>
      </w:r>
      <w:r w:rsidRPr="00FB598B">
        <w:rPr>
          <w:rFonts w:cs="Times New Roman"/>
        </w:rPr>
        <w:t>This report must be made available in a conspicuous place on the department</w:t>
      </w:r>
      <w:r w:rsidRPr="0088700A">
        <w:rPr>
          <w:rFonts w:cs="Times New Roman"/>
        </w:rPr>
        <w:t>’</w:t>
      </w:r>
      <w:r w:rsidRPr="00FB598B">
        <w:rPr>
          <w:rFonts w:cs="Times New Roman"/>
        </w:rPr>
        <w:t>s website.</w:t>
      </w:r>
      <w:r w:rsidRPr="00FB598B">
        <w:rPr>
          <w:rFonts w:cs="Times New Roman"/>
        </w:rPr>
        <w:tab/>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80.</w:t>
      </w:r>
      <w:r w:rsidRPr="00FB598B">
        <w:rPr>
          <w:rFonts w:cs="Times New Roman"/>
          <w:u w:color="000000" w:themeColor="text1"/>
        </w:rPr>
        <w:tab/>
        <w:t>Tax credits generated as a result of these investments are not considered securities under the laws of this State.”</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u w:color="000000" w:themeColor="text1"/>
        </w:rPr>
        <w:t>B.</w:t>
      </w:r>
      <w:r>
        <w:rPr>
          <w:rFonts w:cs="Times New Roman"/>
          <w:u w:color="000000" w:themeColor="text1"/>
        </w:rPr>
        <w:tab/>
      </w:r>
      <w:r>
        <w:rPr>
          <w:rFonts w:cs="Times New Roman"/>
          <w:u w:color="000000" w:themeColor="text1"/>
        </w:rPr>
        <w:tab/>
      </w:r>
      <w:r w:rsidRPr="00FB598B">
        <w:rPr>
          <w:rFonts w:cs="Times New Roman"/>
          <w:u w:color="000000" w:themeColor="text1"/>
        </w:rPr>
        <w:t>The provisions of Chapter 44, Title 11</w:t>
      </w:r>
      <w:r>
        <w:rPr>
          <w:rFonts w:cs="Times New Roman"/>
          <w:u w:color="000000" w:themeColor="text1"/>
        </w:rPr>
        <w:t>,</w:t>
      </w:r>
      <w:r w:rsidRPr="00FB598B">
        <w:rPr>
          <w:rFonts w:cs="Times New Roman"/>
          <w:u w:color="000000" w:themeColor="text1"/>
        </w:rPr>
        <w:t xml:space="preserve"> contained in this act are repealed on December 31, 2019</w:t>
      </w:r>
      <w:r w:rsidRPr="00FB598B">
        <w:rPr>
          <w:u w:color="000000" w:themeColor="text1"/>
        </w:rPr>
        <w:t xml:space="preserve">.  </w:t>
      </w:r>
      <w:r w:rsidRPr="00FB598B">
        <w:rPr>
          <w:rFonts w:cs="Times New Roman"/>
          <w:u w:color="000000" w:themeColor="text1"/>
        </w:rPr>
        <w:t>Any carry forward credits shall continue to be allowed until the ten year time period in 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40(B) is completed.</w:t>
      </w: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Default="00EB41D2" w:rsidP="00EB4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Exchange of information authorized</w:t>
      </w:r>
    </w:p>
    <w:p w:rsidR="00EB41D2" w:rsidRPr="00F040A5" w:rsidRDefault="00EB41D2" w:rsidP="00EB4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SECTION</w:t>
      </w:r>
      <w:r w:rsidRPr="00FB598B">
        <w:rPr>
          <w:rFonts w:cs="Times New Roman"/>
          <w:u w:color="000000" w:themeColor="text1"/>
        </w:rPr>
        <w:tab/>
        <w:t>2.</w:t>
      </w:r>
      <w:r w:rsidRPr="00FB598B">
        <w:rPr>
          <w:rFonts w:cs="Times New Roman"/>
          <w:u w:color="000000" w:themeColor="text1"/>
        </w:rPr>
        <w:tab/>
        <w:t>Section 12</w:t>
      </w:r>
      <w:r>
        <w:rPr>
          <w:rFonts w:cs="Times New Roman"/>
          <w:u w:color="000000" w:themeColor="text1"/>
        </w:rPr>
        <w:noBreakHyphen/>
      </w:r>
      <w:r w:rsidRPr="00FB598B">
        <w:rPr>
          <w:rFonts w:cs="Times New Roman"/>
          <w:u w:color="000000" w:themeColor="text1"/>
        </w:rPr>
        <w:t>54</w:t>
      </w:r>
      <w:r>
        <w:rPr>
          <w:rFonts w:cs="Times New Roman"/>
          <w:u w:color="000000" w:themeColor="text1"/>
        </w:rPr>
        <w:noBreakHyphen/>
      </w:r>
      <w:r w:rsidRPr="00FB598B">
        <w:rPr>
          <w:rFonts w:cs="Times New Roman"/>
          <w:u w:color="000000" w:themeColor="text1"/>
        </w:rPr>
        <w:t>240(B) of the 1976 Code, as last amended by Act 116 of 2007, is further amended by adding an appropriately numbered item at the end to read:</w:t>
      </w: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Pr="00FB598B"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ab/>
        <w:t>“(</w:t>
      </w:r>
      <w:r w:rsidRPr="00FB598B">
        <w:rPr>
          <w:u w:color="000000" w:themeColor="text1"/>
        </w:rPr>
        <w:t xml:space="preserve"> </w:t>
      </w:r>
      <w:r w:rsidRPr="00FB598B">
        <w:rPr>
          <w:rFonts w:cs="Times New Roman"/>
          <w:u w:color="000000" w:themeColor="text1"/>
        </w:rPr>
        <w:t>)</w:t>
      </w:r>
      <w:r w:rsidRPr="00FB598B">
        <w:rPr>
          <w:rFonts w:cs="Times New Roman"/>
          <w:u w:color="000000" w:themeColor="text1"/>
        </w:rPr>
        <w:tab/>
        <w:t>exchange between the Department of Revenue and the Secretary of State of any information that assists the Department of Revenue or the Secretary of State in determining or verifying information concerning whether a business is a qualified business pursuant to Section 11</w:t>
      </w:r>
      <w:r>
        <w:rPr>
          <w:rFonts w:cs="Times New Roman"/>
          <w:u w:color="000000" w:themeColor="text1"/>
        </w:rPr>
        <w:noBreakHyphen/>
      </w:r>
      <w:r w:rsidRPr="00FB598B">
        <w:rPr>
          <w:rFonts w:cs="Times New Roman"/>
          <w:u w:color="000000" w:themeColor="text1"/>
        </w:rPr>
        <w:t>44</w:t>
      </w:r>
      <w:r>
        <w:rPr>
          <w:rFonts w:cs="Times New Roman"/>
          <w:u w:color="000000" w:themeColor="text1"/>
        </w:rPr>
        <w:noBreakHyphen/>
      </w:r>
      <w:r w:rsidRPr="00FB598B">
        <w:rPr>
          <w:rFonts w:cs="Times New Roman"/>
          <w:u w:color="000000" w:themeColor="text1"/>
        </w:rPr>
        <w:t>60.”</w:t>
      </w: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Pr>
          <w:rFonts w:cs="Times New Roman"/>
          <w:b/>
          <w:u w:color="000000" w:themeColor="text1"/>
        </w:rPr>
        <w:t>Time effective</w:t>
      </w:r>
    </w:p>
    <w:p w:rsidR="00EB41D2" w:rsidRPr="00F040A5"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EB41D2" w:rsidRDefault="00EB41D2"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B598B">
        <w:rPr>
          <w:rFonts w:cs="Times New Roman"/>
          <w:u w:color="000000" w:themeColor="text1"/>
        </w:rPr>
        <w:t>SECTION</w:t>
      </w:r>
      <w:r w:rsidRPr="00FB598B">
        <w:rPr>
          <w:rFonts w:cs="Times New Roman"/>
          <w:u w:color="000000" w:themeColor="text1"/>
        </w:rPr>
        <w:tab/>
        <w:t>3.</w:t>
      </w:r>
      <w:r w:rsidRPr="00FB598B">
        <w:rPr>
          <w:rFonts w:cs="Times New Roman"/>
          <w:u w:color="000000" w:themeColor="text1"/>
        </w:rPr>
        <w:tab/>
        <w:t>This act takes effect upon approval by the Governor, and the tax credits permitted by this chapter are first available for investments made after December 31, 2012.</w:t>
      </w:r>
    </w:p>
    <w:p w:rsidR="00EB41D2" w:rsidRDefault="00EB41D2" w:rsidP="00EB41D2">
      <w:pPr>
        <w:tabs>
          <w:tab w:val="left" w:pos="1440"/>
          <w:tab w:val="left" w:pos="1800"/>
          <w:tab w:val="left" w:pos="2880"/>
        </w:tabs>
        <w:rPr>
          <w:color w:val="000000" w:themeColor="text1"/>
        </w:rPr>
      </w:pPr>
    </w:p>
    <w:p w:rsidR="00EB41D2" w:rsidRDefault="00EB41D2" w:rsidP="00EB41D2">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EB41D2" w:rsidRDefault="00EB41D2" w:rsidP="00EB41D2">
      <w:pPr>
        <w:tabs>
          <w:tab w:val="left" w:pos="1440"/>
          <w:tab w:val="left" w:pos="1800"/>
          <w:tab w:val="left" w:pos="2880"/>
        </w:tabs>
        <w:rPr>
          <w:color w:val="000000" w:themeColor="text1"/>
        </w:rPr>
      </w:pPr>
    </w:p>
    <w:p w:rsidR="00EB41D2" w:rsidRDefault="00EB41D2" w:rsidP="00EB41D2">
      <w:pPr>
        <w:tabs>
          <w:tab w:val="left" w:pos="1440"/>
          <w:tab w:val="left" w:pos="1800"/>
          <w:tab w:val="left" w:pos="2880"/>
        </w:tabs>
        <w:rPr>
          <w:color w:val="000000" w:themeColor="text1"/>
        </w:rPr>
      </w:pPr>
      <w:r>
        <w:rPr>
          <w:color w:val="000000" w:themeColor="text1"/>
        </w:rPr>
        <w:t>Approved the 14</w:t>
      </w:r>
      <w:r w:rsidRPr="00B56E8F">
        <w:rPr>
          <w:color w:val="000000" w:themeColor="text1"/>
          <w:vertAlign w:val="superscript"/>
        </w:rPr>
        <w:t>th</w:t>
      </w:r>
      <w:r>
        <w:rPr>
          <w:color w:val="000000" w:themeColor="text1"/>
        </w:rPr>
        <w:t xml:space="preserve"> day of June, 2013. </w:t>
      </w:r>
    </w:p>
    <w:p w:rsidR="00EB41D2" w:rsidRDefault="00EB41D2" w:rsidP="00EB41D2">
      <w:pPr>
        <w:tabs>
          <w:tab w:val="left" w:pos="1440"/>
          <w:tab w:val="left" w:pos="1800"/>
          <w:tab w:val="left" w:pos="2880"/>
        </w:tabs>
        <w:jc w:val="center"/>
        <w:rPr>
          <w:color w:val="000000" w:themeColor="text1"/>
        </w:rPr>
      </w:pPr>
    </w:p>
    <w:p w:rsidR="00EB41D2" w:rsidRDefault="00EB41D2" w:rsidP="00EB41D2">
      <w:pPr>
        <w:tabs>
          <w:tab w:val="left" w:pos="1440"/>
          <w:tab w:val="left" w:pos="1800"/>
          <w:tab w:val="left" w:pos="2880"/>
        </w:tabs>
        <w:jc w:val="center"/>
        <w:rPr>
          <w:color w:val="000000" w:themeColor="text1"/>
        </w:rPr>
      </w:pPr>
      <w:r>
        <w:rPr>
          <w:color w:val="000000" w:themeColor="text1"/>
        </w:rPr>
        <w:t>__________</w:t>
      </w:r>
    </w:p>
    <w:p w:rsidR="007240AD" w:rsidRDefault="007240AD" w:rsidP="00EB41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7240AD" w:rsidSect="00DA5E6A">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B9E" w:rsidRDefault="00FF5B9E" w:rsidP="007D5FAC">
      <w:r>
        <w:separator/>
      </w:r>
    </w:p>
  </w:endnote>
  <w:endnote w:type="continuationSeparator" w:id="0">
    <w:p w:rsidR="00FF5B9E" w:rsidRDefault="00FF5B9E"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6A" w:rsidRPr="00DA5E6A" w:rsidRDefault="00DA5E6A" w:rsidP="00DA5E6A">
    <w:pPr>
      <w:pStyle w:val="Footer"/>
      <w:tabs>
        <w:tab w:val="clear" w:pos="4680"/>
        <w:tab w:val="clear" w:pos="9360"/>
        <w:tab w:val="center" w:pos="3168"/>
      </w:tabs>
      <w:spacing w:before="120"/>
    </w:pPr>
    <w:r>
      <w:tab/>
    </w:r>
    <w:r w:rsidR="001F15E4">
      <w:fldChar w:fldCharType="begin"/>
    </w:r>
    <w:r w:rsidR="00C6217F">
      <w:instrText xml:space="preserve"> PAGE  \* MERGEFORMAT </w:instrText>
    </w:r>
    <w:r w:rsidR="001F15E4">
      <w:fldChar w:fldCharType="separate"/>
    </w:r>
    <w:r w:rsidR="00AE3CE4">
      <w:rPr>
        <w:noProof/>
      </w:rPr>
      <w:t>8</w:t>
    </w:r>
    <w:r w:rsidR="001F15E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5E6A" w:rsidRDefault="00DA5E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B9E" w:rsidRDefault="00FF5B9E" w:rsidP="007D5FAC">
      <w:r>
        <w:separator/>
      </w:r>
    </w:p>
  </w:footnote>
  <w:footnote w:type="continuationSeparator" w:id="0">
    <w:p w:rsidR="00FF5B9E" w:rsidRDefault="00FF5B9E"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384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505"/>
    <w:docVar w:name="ActSecretary" w:val="Pair"/>
    <w:docVar w:name="ActSIdno" w:val="(147)  3505SD13"/>
    <w:docVar w:name="clipname" w:val="3505SD13"/>
    <w:docVar w:name="dvBillNumber" w:val="3505"/>
    <w:docVar w:name="dvBillNumberPrefix" w:val="H"/>
    <w:docVar w:name="dvOriginalBody" w:val="House"/>
    <w:docVar w:name="HOUSEACTFULLPATH" w:val="L:\COUNCIL\ACTS\3505SD13.DOCX"/>
    <w:docVar w:name="OrigHOUSEBillNo" w:val="3505"/>
    <w:docVar w:name="WhatActtype" w:val="AN ACT"/>
  </w:docVars>
  <w:rsids>
    <w:rsidRoot w:val="003C018B"/>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E16AE"/>
    <w:rsid w:val="001030FE"/>
    <w:rsid w:val="001031AE"/>
    <w:rsid w:val="00103295"/>
    <w:rsid w:val="00103D2E"/>
    <w:rsid w:val="00104519"/>
    <w:rsid w:val="00106968"/>
    <w:rsid w:val="00114917"/>
    <w:rsid w:val="00116403"/>
    <w:rsid w:val="001237B9"/>
    <w:rsid w:val="00131CE5"/>
    <w:rsid w:val="00135DDF"/>
    <w:rsid w:val="00136AA0"/>
    <w:rsid w:val="00141278"/>
    <w:rsid w:val="0014525A"/>
    <w:rsid w:val="001626DB"/>
    <w:rsid w:val="00170F30"/>
    <w:rsid w:val="00172771"/>
    <w:rsid w:val="001747A9"/>
    <w:rsid w:val="001750EA"/>
    <w:rsid w:val="001754BB"/>
    <w:rsid w:val="0018353C"/>
    <w:rsid w:val="00195D9D"/>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5E4"/>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0F4"/>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4C73"/>
    <w:rsid w:val="002B787D"/>
    <w:rsid w:val="002C0E95"/>
    <w:rsid w:val="002C3DB3"/>
    <w:rsid w:val="002C4C93"/>
    <w:rsid w:val="002C7D37"/>
    <w:rsid w:val="002D3267"/>
    <w:rsid w:val="002D7489"/>
    <w:rsid w:val="002D7F22"/>
    <w:rsid w:val="002E0E09"/>
    <w:rsid w:val="002E2659"/>
    <w:rsid w:val="002E42ED"/>
    <w:rsid w:val="002E492C"/>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4498"/>
    <w:rsid w:val="003A6D96"/>
    <w:rsid w:val="003A7517"/>
    <w:rsid w:val="003B105A"/>
    <w:rsid w:val="003B1A01"/>
    <w:rsid w:val="003B2E6E"/>
    <w:rsid w:val="003B355D"/>
    <w:rsid w:val="003B6BB7"/>
    <w:rsid w:val="003B746E"/>
    <w:rsid w:val="003C018B"/>
    <w:rsid w:val="003C030C"/>
    <w:rsid w:val="003D2A73"/>
    <w:rsid w:val="003D5D65"/>
    <w:rsid w:val="003E2FE8"/>
    <w:rsid w:val="003E6CBB"/>
    <w:rsid w:val="00400828"/>
    <w:rsid w:val="00412B47"/>
    <w:rsid w:val="004157C4"/>
    <w:rsid w:val="0041760A"/>
    <w:rsid w:val="00417A9C"/>
    <w:rsid w:val="00423310"/>
    <w:rsid w:val="00427BCB"/>
    <w:rsid w:val="00430DA3"/>
    <w:rsid w:val="00432E09"/>
    <w:rsid w:val="00433055"/>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C1FB0"/>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065A"/>
    <w:rsid w:val="005C45D1"/>
    <w:rsid w:val="005C4B9E"/>
    <w:rsid w:val="005C5915"/>
    <w:rsid w:val="005D50CE"/>
    <w:rsid w:val="005D5723"/>
    <w:rsid w:val="005D6054"/>
    <w:rsid w:val="005D6E25"/>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20E"/>
    <w:rsid w:val="0063724D"/>
    <w:rsid w:val="0064018A"/>
    <w:rsid w:val="00641A70"/>
    <w:rsid w:val="00643998"/>
    <w:rsid w:val="006441A7"/>
    <w:rsid w:val="0064651C"/>
    <w:rsid w:val="00651313"/>
    <w:rsid w:val="00655550"/>
    <w:rsid w:val="00657AB1"/>
    <w:rsid w:val="00663AC3"/>
    <w:rsid w:val="006721A7"/>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3627"/>
    <w:rsid w:val="006B4FA6"/>
    <w:rsid w:val="006C2574"/>
    <w:rsid w:val="006C7535"/>
    <w:rsid w:val="006C7D00"/>
    <w:rsid w:val="006E038F"/>
    <w:rsid w:val="006F22C0"/>
    <w:rsid w:val="006F290C"/>
    <w:rsid w:val="007009F2"/>
    <w:rsid w:val="00703D30"/>
    <w:rsid w:val="00704FF9"/>
    <w:rsid w:val="007052EC"/>
    <w:rsid w:val="00706B65"/>
    <w:rsid w:val="00713272"/>
    <w:rsid w:val="007240AD"/>
    <w:rsid w:val="007261EE"/>
    <w:rsid w:val="00733A16"/>
    <w:rsid w:val="00733C4C"/>
    <w:rsid w:val="00737039"/>
    <w:rsid w:val="007373C7"/>
    <w:rsid w:val="00740BEB"/>
    <w:rsid w:val="007469F9"/>
    <w:rsid w:val="0074783A"/>
    <w:rsid w:val="007514EF"/>
    <w:rsid w:val="00765D0A"/>
    <w:rsid w:val="00766460"/>
    <w:rsid w:val="00771539"/>
    <w:rsid w:val="007746C2"/>
    <w:rsid w:val="00775B87"/>
    <w:rsid w:val="00784A23"/>
    <w:rsid w:val="007946C3"/>
    <w:rsid w:val="007A44AD"/>
    <w:rsid w:val="007A4BCD"/>
    <w:rsid w:val="007A73EA"/>
    <w:rsid w:val="007A7F6B"/>
    <w:rsid w:val="007B0E40"/>
    <w:rsid w:val="007B296A"/>
    <w:rsid w:val="007B2D27"/>
    <w:rsid w:val="007B4FA2"/>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1E77"/>
    <w:rsid w:val="008449B6"/>
    <w:rsid w:val="00850549"/>
    <w:rsid w:val="008524CC"/>
    <w:rsid w:val="00855672"/>
    <w:rsid w:val="00860CD2"/>
    <w:rsid w:val="00862962"/>
    <w:rsid w:val="00865315"/>
    <w:rsid w:val="00865A3F"/>
    <w:rsid w:val="008674BA"/>
    <w:rsid w:val="00870435"/>
    <w:rsid w:val="008733F2"/>
    <w:rsid w:val="008746A0"/>
    <w:rsid w:val="008836A5"/>
    <w:rsid w:val="0088700A"/>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5F66"/>
    <w:rsid w:val="009D75E7"/>
    <w:rsid w:val="009F231A"/>
    <w:rsid w:val="009F37C4"/>
    <w:rsid w:val="009F42DA"/>
    <w:rsid w:val="009F5E10"/>
    <w:rsid w:val="00A03978"/>
    <w:rsid w:val="00A050C0"/>
    <w:rsid w:val="00A062DB"/>
    <w:rsid w:val="00A07F7B"/>
    <w:rsid w:val="00A14F94"/>
    <w:rsid w:val="00A23CED"/>
    <w:rsid w:val="00A25E64"/>
    <w:rsid w:val="00A26387"/>
    <w:rsid w:val="00A27EA1"/>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3CE4"/>
    <w:rsid w:val="00AE4DFB"/>
    <w:rsid w:val="00AF08CD"/>
    <w:rsid w:val="00AF2080"/>
    <w:rsid w:val="00AF3196"/>
    <w:rsid w:val="00AF3FED"/>
    <w:rsid w:val="00AF6432"/>
    <w:rsid w:val="00AF7929"/>
    <w:rsid w:val="00AF7A83"/>
    <w:rsid w:val="00B11270"/>
    <w:rsid w:val="00B303AC"/>
    <w:rsid w:val="00B374C4"/>
    <w:rsid w:val="00B408FD"/>
    <w:rsid w:val="00B4221E"/>
    <w:rsid w:val="00B4797F"/>
    <w:rsid w:val="00B505C1"/>
    <w:rsid w:val="00B516BA"/>
    <w:rsid w:val="00B520A2"/>
    <w:rsid w:val="00B60515"/>
    <w:rsid w:val="00B62CAB"/>
    <w:rsid w:val="00B678FA"/>
    <w:rsid w:val="00B72ED3"/>
    <w:rsid w:val="00B73571"/>
    <w:rsid w:val="00B83DA1"/>
    <w:rsid w:val="00B846E9"/>
    <w:rsid w:val="00B91994"/>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6217F"/>
    <w:rsid w:val="00C644D9"/>
    <w:rsid w:val="00C7071A"/>
    <w:rsid w:val="00C748CB"/>
    <w:rsid w:val="00C74E9D"/>
    <w:rsid w:val="00C81812"/>
    <w:rsid w:val="00C837F6"/>
    <w:rsid w:val="00C92B7D"/>
    <w:rsid w:val="00C94E59"/>
    <w:rsid w:val="00C97CB8"/>
    <w:rsid w:val="00CA4CD7"/>
    <w:rsid w:val="00CA7497"/>
    <w:rsid w:val="00CB08A1"/>
    <w:rsid w:val="00CB12FE"/>
    <w:rsid w:val="00CC2825"/>
    <w:rsid w:val="00CD30E1"/>
    <w:rsid w:val="00CD3E5E"/>
    <w:rsid w:val="00CE13B0"/>
    <w:rsid w:val="00CE1407"/>
    <w:rsid w:val="00CE54EA"/>
    <w:rsid w:val="00CE5B85"/>
    <w:rsid w:val="00CE62ED"/>
    <w:rsid w:val="00CF5814"/>
    <w:rsid w:val="00CF5FD4"/>
    <w:rsid w:val="00CF79C1"/>
    <w:rsid w:val="00D00681"/>
    <w:rsid w:val="00D0170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A5E6A"/>
    <w:rsid w:val="00DB01BE"/>
    <w:rsid w:val="00DB1297"/>
    <w:rsid w:val="00DC093F"/>
    <w:rsid w:val="00DC5BC6"/>
    <w:rsid w:val="00DC6CFE"/>
    <w:rsid w:val="00DD2595"/>
    <w:rsid w:val="00DD2723"/>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026"/>
    <w:rsid w:val="00E3462F"/>
    <w:rsid w:val="00E36231"/>
    <w:rsid w:val="00E500F1"/>
    <w:rsid w:val="00E5358E"/>
    <w:rsid w:val="00E60357"/>
    <w:rsid w:val="00E61B4C"/>
    <w:rsid w:val="00E71D4E"/>
    <w:rsid w:val="00E757F4"/>
    <w:rsid w:val="00E9303D"/>
    <w:rsid w:val="00EA2A3A"/>
    <w:rsid w:val="00EA4BDB"/>
    <w:rsid w:val="00EA77B0"/>
    <w:rsid w:val="00EB18D7"/>
    <w:rsid w:val="00EB223A"/>
    <w:rsid w:val="00EB41D2"/>
    <w:rsid w:val="00EC47CE"/>
    <w:rsid w:val="00EC4D8C"/>
    <w:rsid w:val="00ED4871"/>
    <w:rsid w:val="00ED6749"/>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0213"/>
    <w:rsid w:val="00FA7E14"/>
    <w:rsid w:val="00FB1A6A"/>
    <w:rsid w:val="00FC380D"/>
    <w:rsid w:val="00FD5B10"/>
    <w:rsid w:val="00FD6DC2"/>
    <w:rsid w:val="00FD7AFA"/>
    <w:rsid w:val="00FE15B8"/>
    <w:rsid w:val="00FE16A0"/>
    <w:rsid w:val="00FE1D78"/>
    <w:rsid w:val="00FE6887"/>
    <w:rsid w:val="00FF0473"/>
    <w:rsid w:val="00FF42B3"/>
    <w:rsid w:val="00FF4CAA"/>
    <w:rsid w:val="00FF5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oNotEmbedSmartTags/>
  <w:decimalSymbol w:val="."/>
  <w:listSeparator w:val=","/>
  <w15:docId w15:val="{8A5D337B-0AA4-406B-B558-886BA2343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A5E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2B4C7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DA5E6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017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06-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6-04-13.docx" TargetMode="External"/><Relationship Id="rId26" Type="http://schemas.openxmlformats.org/officeDocument/2006/relationships/hyperlink" Target="file:///p:\pprever\2013-14\3505_20130530.docx" TargetMode="External"/><Relationship Id="rId3" Type="http://schemas.openxmlformats.org/officeDocument/2006/relationships/settings" Target="settings.xml"/><Relationship Id="rId21" Type="http://schemas.openxmlformats.org/officeDocument/2006/relationships/hyperlink" Target="file:///h:\HJ%20Archive\2013\06-05-13.docx" TargetMode="External"/><Relationship Id="rId7" Type="http://schemas.openxmlformats.org/officeDocument/2006/relationships/hyperlink" Target="file:///h:\HJ%20Archive\2013\02-06-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6-04-13.docx" TargetMode="External"/><Relationship Id="rId25" Type="http://schemas.openxmlformats.org/officeDocument/2006/relationships/hyperlink" Target="file:///p:\pprever\2013-14\3505_20130424.docx" TargetMode="External"/><Relationship Id="rId2" Type="http://schemas.openxmlformats.org/officeDocument/2006/relationships/styles" Target="styles.xml"/><Relationship Id="rId16" Type="http://schemas.openxmlformats.org/officeDocument/2006/relationships/hyperlink" Target="file:///h:\SJ%20Archive\2013\05-30-13.docx" TargetMode="External"/><Relationship Id="rId20" Type="http://schemas.openxmlformats.org/officeDocument/2006/relationships/hyperlink" Target="file:///h:\SJ%20Archive\2013\06-05-13.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505_20130418.docx" TargetMode="Externa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p:\pprever\2013-14\3505_20130206.docx" TargetMode="External"/><Relationship Id="rId28" Type="http://schemas.openxmlformats.org/officeDocument/2006/relationships/footer" Target="footer1.xml"/><Relationship Id="rId10" Type="http://schemas.openxmlformats.org/officeDocument/2006/relationships/hyperlink" Target="file:///h:\HJ%20Archive\2013\04-24-13.docx" TargetMode="External"/><Relationship Id="rId19" Type="http://schemas.openxmlformats.org/officeDocument/2006/relationships/hyperlink" Target="file:///h:\SJ%20Archive\2013\06-04-13.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6-05-13.docx" TargetMode="External"/><Relationship Id="rId27" Type="http://schemas.openxmlformats.org/officeDocument/2006/relationships/hyperlink" Target="file:///p:\pprever\2013-14\3505_20130604.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F3034-727C-4056-B526-DA6FFB202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1</TotalTime>
  <Pages>4</Pages>
  <Words>3138</Words>
  <Characters>17887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3505: High Growth Small Business Access to Capital Act - South Carolina Legislature Online</dc:title>
  <dc:subject/>
  <dc:creator>sharonpair</dc:creator>
  <cp:keywords/>
  <dc:description/>
  <cp:lastModifiedBy>N Cumfer</cp:lastModifiedBy>
  <cp:revision>5</cp:revision>
  <cp:lastPrinted>2013-06-06T13:09:00Z</cp:lastPrinted>
  <dcterms:created xsi:type="dcterms:W3CDTF">2013-08-06T14:37:00Z</dcterms:created>
  <dcterms:modified xsi:type="dcterms:W3CDTF">2014-12-05T16:38:00Z</dcterms:modified>
</cp:coreProperties>
</file>