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E49" w:rsidRDefault="003C3E49" w:rsidP="003C3E49">
      <w:pPr>
        <w:widowControl w:val="0"/>
        <w:jc w:val="center"/>
      </w:pPr>
      <w:r w:rsidRPr="003C3E49">
        <w:rPr>
          <w:b/>
        </w:rPr>
        <w:t>South Carolina General Assembly</w:t>
      </w:r>
    </w:p>
    <w:p w:rsidR="003C3E49" w:rsidRDefault="003C3E49" w:rsidP="003C3E49">
      <w:pPr>
        <w:widowControl w:val="0"/>
        <w:jc w:val="center"/>
      </w:pPr>
      <w:r>
        <w:t>120th Session, 2013-2014</w:t>
      </w:r>
    </w:p>
    <w:p w:rsidR="003C3E49" w:rsidRDefault="003C3E49" w:rsidP="003C3E49">
      <w:pPr>
        <w:widowControl w:val="0"/>
        <w:jc w:val="left"/>
      </w:pPr>
    </w:p>
    <w:p w:rsidR="003C3E49" w:rsidRDefault="003C3E49" w:rsidP="003C3E49">
      <w:pPr>
        <w:widowControl w:val="0"/>
        <w:jc w:val="left"/>
        <w:rPr>
          <w:b/>
        </w:rPr>
      </w:pPr>
      <w:r w:rsidRPr="003C3E49">
        <w:rPr>
          <w:b/>
        </w:rPr>
        <w:t>H. 3834</w:t>
      </w:r>
    </w:p>
    <w:p w:rsidR="003C3E49" w:rsidRDefault="003C3E49" w:rsidP="003C3E49">
      <w:pPr>
        <w:widowControl w:val="0"/>
        <w:jc w:val="left"/>
        <w:rPr>
          <w:b/>
        </w:rPr>
      </w:pPr>
    </w:p>
    <w:p w:rsidR="003C3E49" w:rsidRDefault="003C3E49" w:rsidP="003C3E49">
      <w:pPr>
        <w:widowControl w:val="0"/>
        <w:jc w:val="left"/>
      </w:pPr>
      <w:r w:rsidRPr="003C3E49">
        <w:rPr>
          <w:b/>
        </w:rPr>
        <w:t>STATUS INFORMATION</w:t>
      </w:r>
    </w:p>
    <w:p w:rsidR="003C3E49" w:rsidRDefault="003C3E49" w:rsidP="003C3E49">
      <w:pPr>
        <w:widowControl w:val="0"/>
        <w:jc w:val="left"/>
      </w:pPr>
    </w:p>
    <w:p w:rsidR="003C3E49" w:rsidRDefault="003C3E49" w:rsidP="003C3E49">
      <w:pPr>
        <w:widowControl w:val="0"/>
        <w:jc w:val="left"/>
      </w:pPr>
      <w:r>
        <w:t>General Bill</w:t>
      </w:r>
    </w:p>
    <w:p w:rsidR="003C3E49" w:rsidRDefault="00AA2B65" w:rsidP="003C3E49">
      <w:pPr>
        <w:widowControl w:val="0"/>
        <w:jc w:val="left"/>
      </w:pPr>
      <w:r>
        <w:t>Sponsors: Reps. Loftis, W.J. McLeod, Neal, Williams, Bannister, R.L. Brown, Hosey, Ridgeway, Stavrinakis, Merrill and Mitchell</w:t>
      </w:r>
    </w:p>
    <w:p w:rsidR="003C3E49" w:rsidRDefault="003C3E49" w:rsidP="003C3E49">
      <w:pPr>
        <w:widowControl w:val="0"/>
        <w:jc w:val="left"/>
      </w:pPr>
      <w:r>
        <w:t>Document Path: l:\council\bills\bbm\10842htc13.docx</w:t>
      </w:r>
    </w:p>
    <w:p w:rsidR="00614729" w:rsidRDefault="00614729" w:rsidP="003C3E49">
      <w:pPr>
        <w:widowControl w:val="0"/>
        <w:jc w:val="left"/>
      </w:pPr>
      <w:r>
        <w:t>Companion/Similar bill(s): 329</w:t>
      </w:r>
    </w:p>
    <w:p w:rsidR="003C3E49" w:rsidRDefault="003C3E49" w:rsidP="003C3E49">
      <w:pPr>
        <w:widowControl w:val="0"/>
        <w:jc w:val="left"/>
      </w:pPr>
    </w:p>
    <w:p w:rsidR="00303DE2" w:rsidRDefault="00303DE2" w:rsidP="003C3E49">
      <w:pPr>
        <w:widowControl w:val="0"/>
        <w:jc w:val="left"/>
      </w:pPr>
      <w:r>
        <w:t>Introduced in the House on March 20, 2013</w:t>
      </w:r>
    </w:p>
    <w:p w:rsidR="00303DE2" w:rsidRDefault="00303DE2" w:rsidP="003C3E49">
      <w:pPr>
        <w:widowControl w:val="0"/>
        <w:jc w:val="left"/>
      </w:pPr>
      <w:r>
        <w:t>Introduced in the Senate on April 30, 2014</w:t>
      </w:r>
    </w:p>
    <w:p w:rsidR="00303DE2" w:rsidRDefault="00303DE2" w:rsidP="003C3E49">
      <w:pPr>
        <w:widowControl w:val="0"/>
        <w:jc w:val="left"/>
      </w:pPr>
      <w:r>
        <w:t>Last Amended on April 29, 2014</w:t>
      </w:r>
    </w:p>
    <w:p w:rsidR="00303DE2" w:rsidRPr="00303DE2" w:rsidRDefault="00303DE2" w:rsidP="003C3E49">
      <w:pPr>
        <w:widowControl w:val="0"/>
        <w:jc w:val="left"/>
      </w:pPr>
      <w:r>
        <w:t xml:space="preserve">Currently residing in the Senate Committee on </w:t>
      </w:r>
      <w:r w:rsidRPr="00303DE2">
        <w:rPr>
          <w:b/>
        </w:rPr>
        <w:t>Finance</w:t>
      </w:r>
    </w:p>
    <w:p w:rsidR="00303DE2" w:rsidRDefault="00303DE2" w:rsidP="003C3E49">
      <w:pPr>
        <w:widowControl w:val="0"/>
        <w:jc w:val="left"/>
      </w:pPr>
    </w:p>
    <w:p w:rsidR="003C3E49" w:rsidRDefault="003C3E49" w:rsidP="003C3E49">
      <w:pPr>
        <w:widowControl w:val="0"/>
        <w:jc w:val="left"/>
      </w:pPr>
      <w:r>
        <w:t xml:space="preserve">Summary: </w:t>
      </w:r>
      <w:r w:rsidR="009B0B92">
        <w:t>Solar energy system</w:t>
      </w:r>
    </w:p>
    <w:p w:rsidR="003C3E49" w:rsidRDefault="003C3E49" w:rsidP="003C3E49">
      <w:pPr>
        <w:widowControl w:val="0"/>
        <w:jc w:val="left"/>
      </w:pPr>
    </w:p>
    <w:p w:rsidR="003C3E49" w:rsidRDefault="003C3E49" w:rsidP="003C3E49">
      <w:pPr>
        <w:widowControl w:val="0"/>
        <w:jc w:val="left"/>
      </w:pPr>
    </w:p>
    <w:p w:rsidR="003C3E49" w:rsidRDefault="003C3E49" w:rsidP="003C3E49">
      <w:pPr>
        <w:widowControl w:val="0"/>
        <w:tabs>
          <w:tab w:val="center" w:pos="590"/>
          <w:tab w:val="center" w:pos="1440"/>
          <w:tab w:val="left" w:pos="1872"/>
          <w:tab w:val="left" w:pos="9187"/>
        </w:tabs>
        <w:jc w:val="left"/>
      </w:pPr>
      <w:r w:rsidRPr="003C3E49">
        <w:rPr>
          <w:b/>
        </w:rPr>
        <w:t>HISTORY OF LEGISLATIVE ACTIONS</w:t>
      </w:r>
    </w:p>
    <w:p w:rsidR="003C3E49" w:rsidRDefault="003C3E49" w:rsidP="003C3E49">
      <w:pPr>
        <w:widowControl w:val="0"/>
        <w:tabs>
          <w:tab w:val="center" w:pos="590"/>
          <w:tab w:val="center" w:pos="1440"/>
          <w:tab w:val="left" w:pos="1872"/>
          <w:tab w:val="left" w:pos="9187"/>
        </w:tabs>
        <w:jc w:val="left"/>
      </w:pPr>
    </w:p>
    <w:p w:rsidR="003C3E49" w:rsidRPr="003C3E49" w:rsidRDefault="003C3E49" w:rsidP="003C3E49">
      <w:pPr>
        <w:widowControl w:val="0"/>
        <w:tabs>
          <w:tab w:val="center" w:pos="590"/>
          <w:tab w:val="center" w:pos="1440"/>
          <w:tab w:val="left" w:pos="1872"/>
          <w:tab w:val="left" w:pos="9187"/>
        </w:tabs>
        <w:jc w:val="left"/>
      </w:pPr>
      <w:r w:rsidRPr="003C3E49">
        <w:rPr>
          <w:u w:val="single"/>
        </w:rPr>
        <w:tab/>
        <w:t>Date</w:t>
      </w:r>
      <w:r w:rsidRPr="003C3E49">
        <w:rPr>
          <w:u w:val="single"/>
        </w:rPr>
        <w:tab/>
        <w:t>Body</w:t>
      </w:r>
      <w:r w:rsidRPr="003C3E49">
        <w:rPr>
          <w:u w:val="single"/>
        </w:rPr>
        <w:tab/>
        <w:t>Action Description with journal page number</w:t>
      </w:r>
      <w:r w:rsidRPr="003C3E49">
        <w:rPr>
          <w:u w:val="single"/>
        </w:rPr>
        <w:tab/>
      </w:r>
      <w:bookmarkStart w:id="0" w:name="_GoBack"/>
      <w:bookmarkEnd w:id="0"/>
    </w:p>
    <w:p w:rsidR="00B8202D" w:rsidRDefault="00B8202D" w:rsidP="00B8202D">
      <w:pPr>
        <w:widowControl w:val="0"/>
        <w:tabs>
          <w:tab w:val="right" w:pos="1008"/>
          <w:tab w:val="left" w:pos="1152"/>
          <w:tab w:val="left" w:pos="1872"/>
          <w:tab w:val="left" w:pos="9187"/>
        </w:tabs>
        <w:ind w:left="2088" w:hanging="2088"/>
        <w:jc w:val="left"/>
      </w:pPr>
      <w:r>
        <w:tab/>
        <w:t>3/20/2013</w:t>
      </w:r>
      <w:r>
        <w:tab/>
        <w:t>House</w:t>
      </w:r>
      <w:r>
        <w:tab/>
      </w:r>
      <w:r w:rsidRPr="00B72F66">
        <w:t>Introduced and read first time (</w:t>
      </w:r>
      <w:hyperlink r:id="rId7" w:history="1">
        <w:r w:rsidRPr="00B72F66">
          <w:rPr>
            <w:rStyle w:val="Hyperlink"/>
          </w:rPr>
          <w:t>House Journal</w:t>
        </w:r>
        <w:r w:rsidRPr="00B72F66">
          <w:rPr>
            <w:rStyle w:val="Hyperlink"/>
          </w:rPr>
          <w:noBreakHyphen/>
          <w:t>page 9</w:t>
        </w:r>
      </w:hyperlink>
      <w:r w:rsidRPr="00B72F66">
        <w:t>)</w:t>
      </w:r>
    </w:p>
    <w:p w:rsidR="00B8202D" w:rsidRDefault="00B8202D" w:rsidP="00B8202D">
      <w:pPr>
        <w:widowControl w:val="0"/>
        <w:tabs>
          <w:tab w:val="right" w:pos="1008"/>
          <w:tab w:val="left" w:pos="1152"/>
          <w:tab w:val="left" w:pos="1872"/>
          <w:tab w:val="left" w:pos="9187"/>
        </w:tabs>
        <w:ind w:left="2088" w:hanging="2088"/>
        <w:jc w:val="left"/>
      </w:pPr>
      <w:r>
        <w:tab/>
        <w:t>3/20/2013</w:t>
      </w:r>
      <w:r>
        <w:tab/>
        <w:t>House</w:t>
      </w:r>
      <w:r>
        <w:tab/>
      </w:r>
      <w:r w:rsidRPr="00B72F66">
        <w:t>Referred</w:t>
      </w:r>
      <w:r>
        <w:t xml:space="preserve"> to Committee on </w:t>
      </w:r>
      <w:r w:rsidRPr="00B72F66">
        <w:rPr>
          <w:b/>
        </w:rPr>
        <w:t>Ways and Means</w:t>
      </w:r>
      <w:r>
        <w:t xml:space="preserve"> </w:t>
      </w:r>
      <w:r w:rsidRPr="00B72F66">
        <w:t>(</w:t>
      </w:r>
      <w:hyperlink r:id="rId8" w:history="1">
        <w:r w:rsidRPr="00B72F66">
          <w:rPr>
            <w:rStyle w:val="Hyperlink"/>
          </w:rPr>
          <w:t>House Journal</w:t>
        </w:r>
        <w:r w:rsidRPr="00B72F66">
          <w:rPr>
            <w:rStyle w:val="Hyperlink"/>
          </w:rPr>
          <w:noBreakHyphen/>
          <w:t>page 9</w:t>
        </w:r>
      </w:hyperlink>
      <w:r w:rsidRPr="00B72F66">
        <w:t>)</w:t>
      </w:r>
    </w:p>
    <w:p w:rsidR="00B8202D" w:rsidRDefault="00B8202D" w:rsidP="00B8202D">
      <w:pPr>
        <w:widowControl w:val="0"/>
        <w:tabs>
          <w:tab w:val="right" w:pos="1008"/>
          <w:tab w:val="left" w:pos="1152"/>
          <w:tab w:val="left" w:pos="1872"/>
          <w:tab w:val="left" w:pos="9187"/>
        </w:tabs>
        <w:ind w:left="2088" w:hanging="2088"/>
        <w:jc w:val="left"/>
      </w:pPr>
      <w:r>
        <w:tab/>
        <w:t>4/3/2014</w:t>
      </w:r>
      <w:r>
        <w:tab/>
        <w:t>House</w:t>
      </w:r>
      <w:r>
        <w:tab/>
      </w:r>
      <w:r w:rsidRPr="00B72F66">
        <w:t>Member(s)</w:t>
      </w:r>
      <w:r>
        <w:t xml:space="preserve"> request name added as sponsor: </w:t>
      </w:r>
      <w:r w:rsidRPr="00B72F66">
        <w:t>Stavrinakis, Merrill</w:t>
      </w:r>
    </w:p>
    <w:p w:rsidR="00B8202D" w:rsidRDefault="00B8202D" w:rsidP="00B8202D">
      <w:pPr>
        <w:widowControl w:val="0"/>
        <w:tabs>
          <w:tab w:val="right" w:pos="1008"/>
          <w:tab w:val="left" w:pos="1152"/>
          <w:tab w:val="left" w:pos="1872"/>
          <w:tab w:val="left" w:pos="9187"/>
        </w:tabs>
        <w:ind w:left="2088" w:hanging="2088"/>
        <w:jc w:val="left"/>
      </w:pPr>
      <w:r>
        <w:tab/>
        <w:t>4/9/2014</w:t>
      </w:r>
      <w:r>
        <w:tab/>
        <w:t>House</w:t>
      </w:r>
      <w:r>
        <w:tab/>
      </w:r>
      <w:r w:rsidRPr="00B72F66">
        <w:t>Committee report</w:t>
      </w:r>
      <w:r>
        <w:t xml:space="preserve">: Favorable with amendment </w:t>
      </w:r>
      <w:r w:rsidRPr="00B72F66">
        <w:rPr>
          <w:b/>
        </w:rPr>
        <w:t>Ways and Means</w:t>
      </w:r>
      <w:r w:rsidRPr="00B72F66">
        <w:t xml:space="preserve"> (</w:t>
      </w:r>
      <w:hyperlink r:id="rId9" w:history="1">
        <w:r w:rsidRPr="00B72F66">
          <w:rPr>
            <w:rStyle w:val="Hyperlink"/>
          </w:rPr>
          <w:t>House Journal</w:t>
        </w:r>
        <w:r w:rsidRPr="00B72F66">
          <w:rPr>
            <w:rStyle w:val="Hyperlink"/>
          </w:rPr>
          <w:noBreakHyphen/>
          <w:t>page 133</w:t>
        </w:r>
      </w:hyperlink>
      <w:r w:rsidRPr="00B72F66">
        <w:t>)</w:t>
      </w:r>
    </w:p>
    <w:p w:rsidR="00B8202D" w:rsidRDefault="00B8202D" w:rsidP="00B8202D">
      <w:pPr>
        <w:widowControl w:val="0"/>
        <w:tabs>
          <w:tab w:val="right" w:pos="1008"/>
          <w:tab w:val="left" w:pos="1152"/>
          <w:tab w:val="left" w:pos="1872"/>
          <w:tab w:val="left" w:pos="9187"/>
        </w:tabs>
        <w:ind w:left="2088" w:hanging="2088"/>
        <w:jc w:val="left"/>
      </w:pPr>
      <w:r>
        <w:tab/>
        <w:t>4/29/2014</w:t>
      </w:r>
      <w:r>
        <w:tab/>
        <w:t>House</w:t>
      </w:r>
      <w:r>
        <w:tab/>
      </w:r>
      <w:r w:rsidRPr="00B72F66">
        <w:t>Member(s) request name added as sponsor: Mitchell</w:t>
      </w:r>
    </w:p>
    <w:p w:rsidR="00B8202D" w:rsidRDefault="00B8202D" w:rsidP="00B8202D">
      <w:pPr>
        <w:widowControl w:val="0"/>
        <w:tabs>
          <w:tab w:val="right" w:pos="1008"/>
          <w:tab w:val="left" w:pos="1152"/>
          <w:tab w:val="left" w:pos="1872"/>
          <w:tab w:val="left" w:pos="9187"/>
        </w:tabs>
        <w:ind w:left="2088" w:hanging="2088"/>
        <w:jc w:val="left"/>
      </w:pPr>
      <w:r>
        <w:tab/>
        <w:t>4/29/2014</w:t>
      </w:r>
      <w:r>
        <w:tab/>
        <w:t>House</w:t>
      </w:r>
      <w:r>
        <w:tab/>
      </w:r>
      <w:r w:rsidRPr="00B72F66">
        <w:t>Amended (</w:t>
      </w:r>
      <w:hyperlink r:id="rId10" w:history="1">
        <w:r w:rsidRPr="00B72F66">
          <w:rPr>
            <w:rStyle w:val="Hyperlink"/>
          </w:rPr>
          <w:t>House Journal</w:t>
        </w:r>
        <w:r w:rsidRPr="00B72F66">
          <w:rPr>
            <w:rStyle w:val="Hyperlink"/>
          </w:rPr>
          <w:noBreakHyphen/>
          <w:t>page 81</w:t>
        </w:r>
      </w:hyperlink>
      <w:r w:rsidRPr="00B72F66">
        <w:t>)</w:t>
      </w:r>
    </w:p>
    <w:p w:rsidR="00B8202D" w:rsidRDefault="00B8202D" w:rsidP="00B8202D">
      <w:pPr>
        <w:widowControl w:val="0"/>
        <w:tabs>
          <w:tab w:val="right" w:pos="1008"/>
          <w:tab w:val="left" w:pos="1152"/>
          <w:tab w:val="left" w:pos="1872"/>
          <w:tab w:val="left" w:pos="9187"/>
        </w:tabs>
        <w:ind w:left="2088" w:hanging="2088"/>
        <w:jc w:val="left"/>
      </w:pPr>
      <w:r>
        <w:tab/>
        <w:t>4/29/2014</w:t>
      </w:r>
      <w:r>
        <w:tab/>
        <w:t>House</w:t>
      </w:r>
      <w:r>
        <w:tab/>
      </w:r>
      <w:r w:rsidRPr="00B72F66">
        <w:t>Read second time (</w:t>
      </w:r>
      <w:hyperlink r:id="rId11" w:history="1">
        <w:r w:rsidRPr="00B72F66">
          <w:rPr>
            <w:rStyle w:val="Hyperlink"/>
          </w:rPr>
          <w:t>House Journal</w:t>
        </w:r>
        <w:r w:rsidRPr="00B72F66">
          <w:rPr>
            <w:rStyle w:val="Hyperlink"/>
          </w:rPr>
          <w:noBreakHyphen/>
          <w:t>page 81</w:t>
        </w:r>
      </w:hyperlink>
      <w:r w:rsidRPr="00B72F66">
        <w:t>)</w:t>
      </w:r>
    </w:p>
    <w:p w:rsidR="00B8202D" w:rsidRDefault="00B8202D" w:rsidP="00B8202D">
      <w:pPr>
        <w:widowControl w:val="0"/>
        <w:tabs>
          <w:tab w:val="right" w:pos="1008"/>
          <w:tab w:val="left" w:pos="1152"/>
          <w:tab w:val="left" w:pos="1872"/>
          <w:tab w:val="left" w:pos="9187"/>
        </w:tabs>
        <w:ind w:left="2088" w:hanging="2088"/>
        <w:jc w:val="left"/>
      </w:pPr>
      <w:r>
        <w:tab/>
        <w:t>4/29/2014</w:t>
      </w:r>
      <w:r>
        <w:tab/>
        <w:t>House</w:t>
      </w:r>
      <w:r>
        <w:tab/>
      </w:r>
      <w:r w:rsidRPr="00B72F66">
        <w:t>Roll call Yeas</w:t>
      </w:r>
      <w:r>
        <w:noBreakHyphen/>
      </w:r>
      <w:r w:rsidRPr="00B72F66">
        <w:t>74  Nays</w:t>
      </w:r>
      <w:r>
        <w:noBreakHyphen/>
      </w:r>
      <w:r w:rsidRPr="00B72F66">
        <w:t>26 (</w:t>
      </w:r>
      <w:hyperlink r:id="rId12" w:history="1">
        <w:r w:rsidRPr="00B72F66">
          <w:rPr>
            <w:rStyle w:val="Hyperlink"/>
          </w:rPr>
          <w:t>House Journal</w:t>
        </w:r>
        <w:r w:rsidRPr="00B72F66">
          <w:rPr>
            <w:rStyle w:val="Hyperlink"/>
          </w:rPr>
          <w:noBreakHyphen/>
          <w:t>page 86</w:t>
        </w:r>
      </w:hyperlink>
      <w:r w:rsidRPr="00B72F66">
        <w:t>)</w:t>
      </w:r>
    </w:p>
    <w:p w:rsidR="00B8202D" w:rsidRDefault="00B8202D" w:rsidP="00B8202D">
      <w:pPr>
        <w:widowControl w:val="0"/>
        <w:tabs>
          <w:tab w:val="right" w:pos="1008"/>
          <w:tab w:val="left" w:pos="1152"/>
          <w:tab w:val="left" w:pos="1872"/>
          <w:tab w:val="left" w:pos="9187"/>
        </w:tabs>
        <w:ind w:left="2088" w:hanging="2088"/>
        <w:jc w:val="left"/>
      </w:pPr>
      <w:r>
        <w:tab/>
        <w:t>4/30/2014</w:t>
      </w:r>
      <w:r>
        <w:tab/>
        <w:t>House</w:t>
      </w:r>
      <w:r>
        <w:tab/>
      </w:r>
      <w:r w:rsidRPr="00B72F66">
        <w:t>Rea</w:t>
      </w:r>
      <w:r>
        <w:t xml:space="preserve">d third time and sent to Senate </w:t>
      </w:r>
      <w:r w:rsidRPr="00B72F66">
        <w:t>(</w:t>
      </w:r>
      <w:hyperlink r:id="rId13" w:history="1">
        <w:r w:rsidRPr="00B72F66">
          <w:rPr>
            <w:rStyle w:val="Hyperlink"/>
          </w:rPr>
          <w:t>House Journal</w:t>
        </w:r>
        <w:r w:rsidRPr="00B72F66">
          <w:rPr>
            <w:rStyle w:val="Hyperlink"/>
          </w:rPr>
          <w:noBreakHyphen/>
          <w:t>page 41</w:t>
        </w:r>
      </w:hyperlink>
      <w:r w:rsidRPr="00B72F66">
        <w:t>)</w:t>
      </w:r>
    </w:p>
    <w:p w:rsidR="00B8202D" w:rsidRDefault="00B8202D" w:rsidP="00B8202D">
      <w:pPr>
        <w:widowControl w:val="0"/>
        <w:tabs>
          <w:tab w:val="right" w:pos="1008"/>
          <w:tab w:val="left" w:pos="1152"/>
          <w:tab w:val="left" w:pos="1872"/>
          <w:tab w:val="left" w:pos="9187"/>
        </w:tabs>
        <w:ind w:left="2088" w:hanging="2088"/>
        <w:jc w:val="left"/>
      </w:pPr>
      <w:r>
        <w:tab/>
        <w:t>4/30/2014</w:t>
      </w:r>
      <w:r>
        <w:tab/>
        <w:t>Senate</w:t>
      </w:r>
      <w:r>
        <w:tab/>
      </w:r>
      <w:r w:rsidRPr="00B72F66">
        <w:t>Introduced and read first time (</w:t>
      </w:r>
      <w:hyperlink r:id="rId14" w:history="1">
        <w:r w:rsidRPr="00B72F66">
          <w:rPr>
            <w:rStyle w:val="Hyperlink"/>
          </w:rPr>
          <w:t>Senate Journal</w:t>
        </w:r>
        <w:r w:rsidRPr="00B72F66">
          <w:rPr>
            <w:rStyle w:val="Hyperlink"/>
          </w:rPr>
          <w:noBreakHyphen/>
          <w:t>page 11</w:t>
        </w:r>
      </w:hyperlink>
      <w:r w:rsidRPr="00B72F66">
        <w:t>)</w:t>
      </w:r>
    </w:p>
    <w:p w:rsidR="00B8202D" w:rsidRDefault="00B8202D" w:rsidP="00B8202D">
      <w:pPr>
        <w:widowControl w:val="0"/>
        <w:tabs>
          <w:tab w:val="right" w:pos="1008"/>
          <w:tab w:val="left" w:pos="1152"/>
          <w:tab w:val="left" w:pos="1872"/>
          <w:tab w:val="left" w:pos="9187"/>
        </w:tabs>
        <w:ind w:left="2088" w:hanging="2088"/>
        <w:jc w:val="left"/>
      </w:pPr>
      <w:r>
        <w:tab/>
        <w:t>4/30/2014</w:t>
      </w:r>
      <w:r>
        <w:tab/>
        <w:t>Senate</w:t>
      </w:r>
      <w:r>
        <w:tab/>
      </w:r>
      <w:r w:rsidRPr="00B72F66">
        <w:t>R</w:t>
      </w:r>
      <w:r>
        <w:t xml:space="preserve">eferred to Committee on </w:t>
      </w:r>
      <w:r w:rsidRPr="00B72F66">
        <w:rPr>
          <w:b/>
        </w:rPr>
        <w:t>Finance</w:t>
      </w:r>
      <w:r>
        <w:t xml:space="preserve"> </w:t>
      </w:r>
      <w:r w:rsidRPr="00B72F66">
        <w:t>(</w:t>
      </w:r>
      <w:hyperlink r:id="rId15" w:history="1">
        <w:r w:rsidRPr="00B72F66">
          <w:rPr>
            <w:rStyle w:val="Hyperlink"/>
          </w:rPr>
          <w:t>Senate Journal</w:t>
        </w:r>
        <w:r w:rsidRPr="00B72F66">
          <w:rPr>
            <w:rStyle w:val="Hyperlink"/>
          </w:rPr>
          <w:noBreakHyphen/>
          <w:t>page 11</w:t>
        </w:r>
      </w:hyperlink>
      <w:r w:rsidRPr="00B72F66">
        <w:t>)</w:t>
      </w:r>
    </w:p>
    <w:p w:rsidR="00B8202D" w:rsidRDefault="00B8202D" w:rsidP="00B8202D">
      <w:pPr>
        <w:widowControl w:val="0"/>
        <w:tabs>
          <w:tab w:val="right" w:pos="1008"/>
          <w:tab w:val="left" w:pos="1152"/>
          <w:tab w:val="left" w:pos="1872"/>
          <w:tab w:val="left" w:pos="9187"/>
        </w:tabs>
        <w:ind w:left="2088" w:hanging="2088"/>
        <w:jc w:val="left"/>
      </w:pPr>
    </w:p>
    <w:p w:rsidR="003C3E49" w:rsidRPr="003C3E49" w:rsidRDefault="003C3E49" w:rsidP="003C3E49">
      <w:pPr>
        <w:widowControl w:val="0"/>
        <w:tabs>
          <w:tab w:val="right" w:pos="1008"/>
          <w:tab w:val="left" w:pos="1152"/>
          <w:tab w:val="left" w:pos="1872"/>
          <w:tab w:val="left" w:pos="9187"/>
        </w:tabs>
        <w:ind w:left="2088" w:hanging="2088"/>
        <w:jc w:val="left"/>
      </w:pPr>
    </w:p>
    <w:p w:rsidR="003C3E49" w:rsidRDefault="003C3E49" w:rsidP="003C3E49">
      <w:pPr>
        <w:widowControl w:val="0"/>
        <w:jc w:val="left"/>
      </w:pPr>
      <w:r w:rsidRPr="003C3E49">
        <w:rPr>
          <w:b/>
        </w:rPr>
        <w:t>VERSIONS OF THIS BILL</w:t>
      </w:r>
    </w:p>
    <w:p w:rsidR="003C3E49" w:rsidRDefault="003C3E49" w:rsidP="003C3E49">
      <w:pPr>
        <w:widowControl w:val="0"/>
        <w:jc w:val="left"/>
      </w:pPr>
    </w:p>
    <w:p w:rsidR="003C3E49" w:rsidRDefault="007812AF" w:rsidP="003C3E49">
      <w:pPr>
        <w:widowControl w:val="0"/>
        <w:jc w:val="left"/>
      </w:pPr>
      <w:hyperlink r:id="rId16" w:history="1">
        <w:r w:rsidR="003C3E49">
          <w:rPr>
            <w:rStyle w:val="Hyperlink"/>
          </w:rPr>
          <w:t>3/20/2013</w:t>
        </w:r>
      </w:hyperlink>
    </w:p>
    <w:p w:rsidR="00DB5F1B" w:rsidRDefault="007812AF" w:rsidP="003C3E49">
      <w:hyperlink r:id="rId17" w:history="1">
        <w:r w:rsidR="00DB5F1B" w:rsidRPr="00DB5F1B">
          <w:rPr>
            <w:rStyle w:val="Hyperlink"/>
          </w:rPr>
          <w:t>4/9/2014</w:t>
        </w:r>
      </w:hyperlink>
    </w:p>
    <w:p w:rsidR="00BE270F" w:rsidRDefault="007812AF" w:rsidP="003C3E49">
      <w:hyperlink r:id="rId18" w:history="1">
        <w:r w:rsidR="00BE270F" w:rsidRPr="00BE270F">
          <w:rPr>
            <w:rStyle w:val="Hyperlink"/>
          </w:rPr>
          <w:t>4/29/2014</w:t>
        </w:r>
      </w:hyperlink>
    </w:p>
    <w:p w:rsidR="003C3E49" w:rsidRDefault="003C3E49" w:rsidP="003C3E49"/>
    <w:p w:rsidR="003C3E49" w:rsidRDefault="003C3E49" w:rsidP="003C3E49">
      <w:pPr>
        <w:sectPr w:rsidR="003C3E49" w:rsidSect="003C3E49">
          <w:pgSz w:w="12240" w:h="15840" w:code="1"/>
          <w:pgMar w:top="1080" w:right="1440" w:bottom="1080" w:left="1440" w:header="720" w:footer="720" w:gutter="0"/>
          <w:cols w:space="720"/>
          <w:noEndnote/>
          <w:docGrid w:linePitch="360"/>
        </w:sectPr>
      </w:pPr>
    </w:p>
    <w:p w:rsidR="00BE270F" w:rsidRDefault="00BE270F" w:rsidP="001D7F4F">
      <w:pPr>
        <w:pStyle w:val="BillDots"/>
      </w:pPr>
      <w:r>
        <w:rPr>
          <w:strike/>
        </w:rPr>
        <w:lastRenderedPageBreak/>
        <w:t>Indicates Matter Stricken</w:t>
      </w:r>
    </w:p>
    <w:p w:rsidR="00BE270F" w:rsidRPr="008A4526" w:rsidRDefault="00BE270F" w:rsidP="001D7F4F">
      <w:pPr>
        <w:pStyle w:val="BillDots"/>
      </w:pPr>
      <w:r>
        <w:rPr>
          <w:u w:val="single"/>
        </w:rPr>
        <w:t>Indicates New Matter</w:t>
      </w:r>
    </w:p>
    <w:p w:rsidR="00BE270F" w:rsidRDefault="00BE270F" w:rsidP="001D7F4F">
      <w:pPr>
        <w:pStyle w:val="BillDots"/>
      </w:pPr>
    </w:p>
    <w:p w:rsidR="00BE270F" w:rsidRDefault="00BE270F" w:rsidP="001D7F4F">
      <w:pPr>
        <w:pStyle w:val="BillDots"/>
      </w:pPr>
      <w:r>
        <w:t>AMENDED</w:t>
      </w:r>
    </w:p>
    <w:p w:rsidR="00BE270F" w:rsidRDefault="00BE270F" w:rsidP="001D7F4F">
      <w:pPr>
        <w:pStyle w:val="BillDots"/>
      </w:pPr>
      <w:r>
        <w:t>April 29, 2014</w:t>
      </w:r>
    </w:p>
    <w:p w:rsidR="00BE270F" w:rsidRDefault="00BE270F" w:rsidP="001D7F4F">
      <w:pPr>
        <w:pStyle w:val="BillDots"/>
      </w:pPr>
    </w:p>
    <w:p w:rsidR="00BE270F" w:rsidRPr="008A4526" w:rsidRDefault="00BE270F" w:rsidP="008A4526">
      <w:pPr>
        <w:pStyle w:val="BillDots"/>
        <w:tabs>
          <w:tab w:val="clear" w:pos="216"/>
          <w:tab w:val="clear" w:pos="432"/>
          <w:tab w:val="clear" w:pos="648"/>
          <w:tab w:val="clear" w:pos="864"/>
          <w:tab w:val="clear" w:pos="1080"/>
          <w:tab w:val="clear" w:pos="1296"/>
          <w:tab w:val="clear" w:pos="5904"/>
          <w:tab w:val="right" w:pos="5933"/>
        </w:tabs>
      </w:pPr>
      <w:r>
        <w:tab/>
      </w:r>
      <w:r>
        <w:rPr>
          <w:b/>
          <w:sz w:val="36"/>
        </w:rPr>
        <w:t>H. 3834</w:t>
      </w:r>
    </w:p>
    <w:p w:rsidR="00BE270F" w:rsidRDefault="00BE270F" w:rsidP="001D7F4F">
      <w:pPr>
        <w:pStyle w:val="BillDots"/>
      </w:pPr>
    </w:p>
    <w:p w:rsidR="00BE270F" w:rsidRDefault="00BE270F" w:rsidP="001D7F4F">
      <w:pPr>
        <w:pStyle w:val="BillDots"/>
      </w:pPr>
      <w:r>
        <w:t>Introduced by Reps. Loftis, W.J. McLeod, Neal, Williams, Bannister, R.L. Brown, Hosey, Ridgeway, Stavrinakis, Merrill and Mitchell</w:t>
      </w:r>
    </w:p>
    <w:p w:rsidR="00BE270F" w:rsidRDefault="00BE270F" w:rsidP="001D7F4F">
      <w:pPr>
        <w:pStyle w:val="BillDots"/>
      </w:pPr>
    </w:p>
    <w:p w:rsidR="00BE270F" w:rsidRDefault="00BE270F" w:rsidP="001D7F4F">
      <w:pPr>
        <w:pStyle w:val="BillDots"/>
      </w:pPr>
      <w:r>
        <w:t>S. Printed 4/29/14--H.</w:t>
      </w:r>
    </w:p>
    <w:p w:rsidR="00BE270F" w:rsidRDefault="00BE270F" w:rsidP="001D7F4F">
      <w:pPr>
        <w:pStyle w:val="BillDots"/>
      </w:pPr>
      <w:r>
        <w:t>Read the first time March 20, 2013.</w:t>
      </w:r>
    </w:p>
    <w:p w:rsidR="00BE270F" w:rsidRPr="008A4526" w:rsidRDefault="00BE270F" w:rsidP="008A4526">
      <w:pPr>
        <w:pStyle w:val="BillDots"/>
        <w:jc w:val="center"/>
      </w:pPr>
      <w:r>
        <w:rPr>
          <w:u w:val="single"/>
        </w:rPr>
        <w:t>            </w:t>
      </w:r>
    </w:p>
    <w:p w:rsidR="00BE270F" w:rsidRDefault="00BE270F" w:rsidP="001D7F4F">
      <w:pPr>
        <w:pStyle w:val="BillDots"/>
      </w:pPr>
    </w:p>
    <w:p w:rsidR="00BE270F" w:rsidRPr="008A4526" w:rsidRDefault="00BE270F" w:rsidP="008A4526">
      <w:pPr>
        <w:pStyle w:val="BillDots"/>
        <w:jc w:val="center"/>
      </w:pPr>
      <w:r>
        <w:rPr>
          <w:b/>
          <w:u w:val="single"/>
        </w:rPr>
        <w:t>STATEMENT OF ESTIMATED FISCAL IMPACT</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1ABD">
        <w:rPr>
          <w:b/>
          <w:szCs w:val="22"/>
        </w:rPr>
        <w:t xml:space="preserve">REVENUE IMPACT </w:t>
      </w:r>
      <w:r w:rsidRPr="00CC1ABD">
        <w:rPr>
          <w:b/>
          <w:szCs w:val="22"/>
          <w:vertAlign w:val="superscript"/>
        </w:rPr>
        <w:t>1/</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 xml:space="preserve">We expect this amendment will reduce </w:t>
      </w:r>
      <w:r>
        <w:rPr>
          <w:szCs w:val="22"/>
        </w:rPr>
        <w:t>g</w:t>
      </w:r>
      <w:r w:rsidRPr="00CC1ABD">
        <w:rPr>
          <w:szCs w:val="22"/>
        </w:rPr>
        <w:t xml:space="preserve">eneral </w:t>
      </w:r>
      <w:r>
        <w:rPr>
          <w:szCs w:val="22"/>
        </w:rPr>
        <w:t>f</w:t>
      </w:r>
      <w:r w:rsidRPr="00CC1ABD">
        <w:rPr>
          <w:szCs w:val="22"/>
        </w:rPr>
        <w:t xml:space="preserve">und income tax revenue by $333,333 in FY2014-15 and increase funds of the State Energy Office by $5,000 in FY2014-15.  When the credits expire in 2016, we expect an increase in </w:t>
      </w:r>
      <w:r>
        <w:rPr>
          <w:szCs w:val="22"/>
        </w:rPr>
        <w:t>g</w:t>
      </w:r>
      <w:r w:rsidRPr="00CC1ABD">
        <w:rPr>
          <w:szCs w:val="22"/>
        </w:rPr>
        <w:t xml:space="preserve">eneral </w:t>
      </w:r>
      <w:r>
        <w:rPr>
          <w:szCs w:val="22"/>
        </w:rPr>
        <w:t>f</w:t>
      </w:r>
      <w:r w:rsidRPr="00CC1ABD">
        <w:rPr>
          <w:szCs w:val="22"/>
        </w:rPr>
        <w:t>und income tax revenue by $387,470 in FY2018 for existing Section 12-6-3587.</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1ABD">
        <w:rPr>
          <w:b/>
          <w:szCs w:val="22"/>
        </w:rPr>
        <w:t>Explanation of Amendment (4/9/14)</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 xml:space="preserve">This amendment strikes all after the enacting words and inserts language to add Section 12-6-3586 granting an income and other specified tax credits for twenty-five percent of the cost of a nonresidential solar energy system that uses solar radiation as a substitute for traditional energy used for water heating, active space heating and cooling, passive heating, day lighting, generating electricity, distillation, desalination, detoxification, or the production of industrial or commercial process heat.  Also included are related devises necessary for collecting, storing, exchanging, conditioning, or converting solar energy to other useful forms of energy.  The credit applies to systems placed in service beginning after 2013 and before 2017.  The credit must be taken in three equal annual installments. The credit may not exceed three hundred thirty-three thousand dollars for each solar energy system installation and the credit may not exceed one million dollars for any taxpayer.  The credit allowed pursuant to this section may not exceed one-half of the taxpayer’s tax liability for a taxable year.  The total amount of credits allocated for all </w:t>
      </w:r>
      <w:r w:rsidRPr="00CC1ABD">
        <w:rPr>
          <w:szCs w:val="22"/>
        </w:rPr>
        <w:lastRenderedPageBreak/>
        <w:t xml:space="preserve">taxpayers in a taxable year may not exceed five million dollars in the aggregate.  The credit is allowed on a first come first serve basis and is monitored by the State Energy Office, with assistance from the Department of Revenue.  Taxpayers wishing to claim the credit must submit an application to the State Energy Office for approval.  There is a nonrefundable application fee equal to one percent of the credit applied for, but no more than two thousand five hundred dollars.  The application fee will be credited to the State Energy Office and must be used to meet the requirements of this </w:t>
      </w:r>
      <w:r>
        <w:rPr>
          <w:szCs w:val="22"/>
        </w:rPr>
        <w:t>s</w:t>
      </w:r>
      <w:r w:rsidRPr="00CC1ABD">
        <w:rPr>
          <w:szCs w:val="22"/>
        </w:rPr>
        <w:t>ection.</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FY2014-15, for a total of $2,000,000.  Adjusting for the fact that the tax credit is to be taken in three equal annual installments and applying the fifty percent tax liability limitation, it is estimated that this bill would reduce State General Fund income tax, bank tax, license fees, or insurance premium tax revenue by an estimated $333,333 in FY2014-15.  Additionally, as the application fee is capped at two thousand five hundred dollars, funds of the State Energy Office would increase by $5,000 in FY2014-15.</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 xml:space="preserve">Additionally, this amendment amends Section 12-6-3587 by adding a subsection which applies to solar energy systems placed in service after tax year 2005 and before tax year 2017.  Currently, Section 12-6-3587 allows for a credit not to exceed three thousand five hundred dollars for each facility, or fifty percent of the taxpayer’s liability for that taxable year, whichever is less.  If the amount of the credit exceeds three thousand five hundred dollars per facility, the taxpayer may carry forward the excess for up to ten years.  Based on data from the South Carolina Department of Revenue, 260 taxpayers claimed the existing solar energy tax credit for a total of $774,940 in 2012.  Assuming this trend continues, we expect the same number of tax credits in 2017.  We estimate fifty percent of these credits, or $387,470, may be carried forward. Therefore, we expect an increase in </w:t>
      </w:r>
      <w:r>
        <w:rPr>
          <w:szCs w:val="22"/>
        </w:rPr>
        <w:t>g</w:t>
      </w:r>
      <w:r w:rsidRPr="00CC1ABD">
        <w:rPr>
          <w:szCs w:val="22"/>
        </w:rPr>
        <w:t xml:space="preserve">eneral </w:t>
      </w:r>
      <w:r>
        <w:rPr>
          <w:szCs w:val="22"/>
        </w:rPr>
        <w:t>f</w:t>
      </w:r>
      <w:r w:rsidRPr="00CC1ABD">
        <w:rPr>
          <w:szCs w:val="22"/>
        </w:rPr>
        <w:t xml:space="preserve">und income tax revenue in FY2018 by $387,470.  </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The credits allowed by this section are in lieu of any other applicable income or other tax credits or abatements allowed by state law for related purposes, and if there is an overlap or conflict in available credits or abatements to a taxpayer, the taxpayer must elect the credit or abatement the taxpayer desires in the manner prescribed by the Department of Revenue to the extent the credits or abatements conflict or overlap.</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This act takes effect upon approval by the Governor and applies for installations of solar energy systems placed in service in taxable years beginning after 2012 and ending in 2018.</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1ABD">
        <w:rPr>
          <w:b/>
          <w:szCs w:val="22"/>
        </w:rPr>
        <w:t>Explanation of Bill Filed 3/20/13</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This bill would add Section 12-6-3586 granting an income and other specified tax credits for twenty-five percent of the total cost of a solar energy system used for water heating, active space heating and cooling, day lighting, generating electricity, distillation, desalination, detoxification, or the production of industrial or commercial process heat placed in service by taxpayers. Additionally, devices necessary for collecting, storing, exchanging, conditioning, or converting solar energy to other useful forms of energy would be included.  This applies to systems placed in service in 2013 through 2018.  The credit may be claimed against a taxpayer’s individual income, corporate income, bank tax, license fees, or insurance premiums taxes.  The credit also applies to taxpayers who operate as a partnership or limited liability company.  In this case, the credit may be passed through to the partners or members and may be allocated by the taxpayer among any of its partners or members on an annual basis, without limitation, an allocation of the entire credit to any partner or member who was a member or partner at any time during the year the credit is allocated.  This bill also provides ceilings on the amount of credit that can be claimed per installation.  For solar energy equipment placed into service for residential purposes, the ceilings range from $3,500 to $1,000,000, based upon the purpose of the solar energy equipment.  For solar energy systems placed into service for any purpose other than residential, the ceiling amount equals $1,000,000 and must be taken in three equal annual installments.  Currently, Section 12-6-3587 allows the same income tax credit of twenty-five percent of certain solar energy equipment purchases and installation costs.  The income tax credit pursuant to Section 12-6-3587 is capped at $3,500 per facility or fifty-percent of the taxpayer’s tax liability for that taxa</w:t>
      </w:r>
      <w:r>
        <w:rPr>
          <w:szCs w:val="22"/>
        </w:rPr>
        <w:t>ble year, whichever is less.</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Based on data from the South Carolina Department of Revenue, 260 taxpayers claimed the existing solar energy tax credit for a total of $774,940, or approximately $2,980 per taxpayer, in 2012. Based upon our analysis of the solar energy equipment tax credit over the past four years, the average tax credit per tax payer is $2,531, which equates to an average unit cost of approximately $10,124. Therefore, we estimate that the increased ceilings for residential solar energy equipment will have no impact in FY2014-15.</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Regarding non-residential installations, 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 2014-15, for a total of $2,000,000</w:t>
      </w:r>
      <w:r>
        <w:rPr>
          <w:szCs w:val="22"/>
        </w:rPr>
        <w:t>.  Adjusting</w:t>
      </w:r>
      <w:r w:rsidRPr="00CC1ABD">
        <w:rPr>
          <w:szCs w:val="22"/>
        </w:rPr>
        <w:t xml:space="preserve"> for the fact that the tax credit is to be taken in three equal annual installments and applying the fifty percent tax liability limitation, it is estimated that this bill would reduce </w:t>
      </w:r>
      <w:r>
        <w:rPr>
          <w:szCs w:val="22"/>
        </w:rPr>
        <w:t>s</w:t>
      </w:r>
      <w:r w:rsidRPr="00CC1ABD">
        <w:rPr>
          <w:szCs w:val="22"/>
        </w:rPr>
        <w:t xml:space="preserve">tate </w:t>
      </w:r>
      <w:r>
        <w:rPr>
          <w:szCs w:val="22"/>
        </w:rPr>
        <w:t>g</w:t>
      </w:r>
      <w:r w:rsidRPr="00CC1ABD">
        <w:rPr>
          <w:szCs w:val="22"/>
        </w:rPr>
        <w:t>eneral</w:t>
      </w:r>
      <w:r>
        <w:rPr>
          <w:szCs w:val="22"/>
        </w:rPr>
        <w:t xml:space="preserve"> f</w:t>
      </w:r>
      <w:r w:rsidRPr="00CC1ABD">
        <w:rPr>
          <w:szCs w:val="22"/>
        </w:rPr>
        <w:t>und income tax, bank tax, license fees, or insurance premium tax revenue by an estimated $333,333 in FY2014-15.</w:t>
      </w:r>
    </w:p>
    <w:p w:rsidR="00BE270F" w:rsidRPr="00CC1ABD"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The credits allowed by this section are in lieu of any other applicable income or other tax credits or abatements allowed by state law for related purposes, and if there is an overlap or conflict in available credits or abatements to a taxpayer, the taxpayer must elect the credit or abatement the taxpayer desires in the manner prescribed by the Department of Revenue to the extent the credits or abatements conflict or overlap.</w:t>
      </w:r>
    </w:p>
    <w:p w:rsidR="00BE270F" w:rsidRDefault="00BE270F" w:rsidP="008A452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This act takes effect upon approval by the Governor and applies for installations of solar energy systems placed in service in taxable years beginning after 2012 and ending in 2018.</w:t>
      </w:r>
    </w:p>
    <w:p w:rsidR="00BE270F" w:rsidRDefault="00BE270F" w:rsidP="008A4526">
      <w:pPr>
        <w:pStyle w:val="BillDots"/>
        <w:rPr>
          <w:szCs w:val="22"/>
        </w:rPr>
      </w:pPr>
    </w:p>
    <w:p w:rsidR="00BE270F" w:rsidRDefault="00BE270F" w:rsidP="008A4526">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r>
      <w:r>
        <w:rPr>
          <w:i/>
          <w:szCs w:val="22"/>
        </w:rPr>
        <w:t>Approved By:</w:t>
      </w:r>
    </w:p>
    <w:p w:rsidR="00BE270F" w:rsidRDefault="00BE270F" w:rsidP="008A4526">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Frank A. Rainwater</w:t>
      </w:r>
    </w:p>
    <w:p w:rsidR="00BE270F" w:rsidRPr="008A4526" w:rsidRDefault="00BE270F" w:rsidP="008A4526">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Board of Economic Advisors</w:t>
      </w:r>
    </w:p>
    <w:p w:rsidR="00BE270F" w:rsidRDefault="00BE270F" w:rsidP="008A4526">
      <w:pPr>
        <w:pStyle w:val="BillDots"/>
        <w:rPr>
          <w:b/>
        </w:rPr>
      </w:pPr>
    </w:p>
    <w:p w:rsidR="00BE270F" w:rsidRDefault="00BE270F" w:rsidP="008A4526">
      <w:pPr>
        <w:pStyle w:val="BillDots"/>
        <w:rPr>
          <w:b/>
        </w:rPr>
      </w:pPr>
      <w:r>
        <w:rPr>
          <w:b/>
          <w:sz w:val="18"/>
        </w:rPr>
        <w:t>1/ This statement meets the requirement of Section 2-7-71 for a state revenue impact by the BEA.</w:t>
      </w:r>
    </w:p>
    <w:p w:rsidR="00BE270F" w:rsidRPr="008A4526" w:rsidRDefault="00BE270F" w:rsidP="008A4526">
      <w:pPr>
        <w:pStyle w:val="BillDots"/>
        <w:rPr>
          <w:b/>
        </w:rPr>
        <w:sectPr w:rsidR="00BE270F" w:rsidRPr="008A4526" w:rsidSect="00BB13C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E270F" w:rsidRDefault="00BE270F" w:rsidP="001D7F4F">
      <w:pPr>
        <w:pStyle w:val="BillDots"/>
      </w:pPr>
    </w:p>
    <w:p w:rsidR="00BE270F" w:rsidRDefault="00BE270F" w:rsidP="003D01E8">
      <w:pPr>
        <w:pStyle w:val="Numbersforbills"/>
      </w:pP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70F" w:rsidRPr="00325348" w:rsidRDefault="00BE270F" w:rsidP="0032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70F" w:rsidRDefault="00BE270F"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3586 SO AS TO ALLOW AN INCOME AND OTHER SPECIFIED TAX CREDITS FOR TWENTY</w:t>
      </w:r>
      <w:r>
        <w:noBreakHyphen/>
        <w:t>FIVE PERCENT OF THE TOTAL COST OF A SOLAR ENERGY SYSTEM PLACED IN SERVICE IN 2013 THROUGH 2018, TO PROVIDE CEILINGS ON THE AMOUNT OF THE CREDIT THAT MAY BE CLAIMED IN ONE YEAR AND PROVIDE FOR THE TIMING OF CREDITS, TO PROVIDE FOR THE ALLOCATION OF THE CREDIT IN THE CASE OF CERTAIN PASS</w:t>
      </w:r>
      <w:r>
        <w:noBreakHyphen/>
        <w:t>THROUGH ENTITIES, AND TO REQUIRE THE TAXPAYER TO ELECT THE CREDIT TO APPLY IN THE CASE OF OVERLAPPING CREDITS.</w:t>
      </w: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70F" w:rsidRDefault="00BE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SECTION</w:t>
      </w:r>
      <w:r w:rsidRPr="004C75D9">
        <w:rPr>
          <w:u w:color="000000" w:themeColor="text1"/>
        </w:rPr>
        <w:tab/>
        <w:t>1.</w:t>
      </w:r>
      <w:r w:rsidRPr="004C75D9">
        <w:rPr>
          <w:u w:color="000000" w:themeColor="text1"/>
        </w:rPr>
        <w:tab/>
        <w:t>A.</w:t>
      </w:r>
      <w:r>
        <w:rPr>
          <w:u w:color="000000" w:themeColor="text1"/>
        </w:rPr>
        <w:tab/>
      </w:r>
      <w:r w:rsidRPr="004C75D9">
        <w:rPr>
          <w:u w:color="000000" w:themeColor="text1"/>
        </w:rPr>
        <w:tab/>
        <w:t>Article 25, Chapter 6, Title 12 of the 1976 Code is amended by adding:</w:t>
      </w:r>
    </w:p>
    <w:p w:rsidR="00BE270F"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“Section 12</w:t>
      </w:r>
      <w:r w:rsidRPr="004C75D9">
        <w:rPr>
          <w:u w:color="000000" w:themeColor="text1"/>
        </w:rPr>
        <w:noBreakHyphen/>
        <w:t>6</w:t>
      </w:r>
      <w:r w:rsidRPr="004C75D9">
        <w:rPr>
          <w:u w:color="000000" w:themeColor="text1"/>
        </w:rPr>
        <w:noBreakHyphen/>
        <w:t>3586.</w:t>
      </w:r>
      <w:r w:rsidRPr="004C75D9">
        <w:rPr>
          <w:u w:color="000000" w:themeColor="text1"/>
        </w:rPr>
        <w:tab/>
        <w:t>(A)</w:t>
      </w:r>
      <w:r w:rsidRPr="004C75D9">
        <w:rPr>
          <w:u w:color="000000" w:themeColor="text1"/>
        </w:rPr>
        <w:tab/>
        <w:t>As used in this section:</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(1)</w:t>
      </w:r>
      <w:r w:rsidRPr="004C75D9">
        <w:rPr>
          <w:u w:color="000000" w:themeColor="text1"/>
        </w:rPr>
        <w:tab/>
        <w:t>‘Solar energy system’ is a nonresidential system that, as determined by the State Energy Office, uses solar radiation as a substitute for traditional energy for water heating, active space heating and cooling, passive heating, daylighting, generating electricity not greater than one megawatt alternating current, distillation, desalination, detoxification, or the production of industrial or commercial process heat.  The term also includes related devices necessary for collecting, storing, exchanging, conditioning, or converting solar energy to other useful forms of energy.</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(3)</w:t>
      </w:r>
      <w:r w:rsidRPr="004C75D9">
        <w:rPr>
          <w:u w:color="000000" w:themeColor="text1"/>
        </w:rPr>
        <w:tab/>
        <w:t>‘Department’ means the South Carolina Department of Revenue.</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(B)(1)</w:t>
      </w:r>
      <w:r w:rsidRPr="004C75D9">
        <w:rPr>
          <w:u w:color="000000" w:themeColor="text1"/>
        </w:rPr>
        <w:tab/>
        <w:t>For tax years beginning after 2013 and before 2017, if a taxpayer that has constructed, purchased, or leased a nonresidential solar energy system, the taxpayer, subject to the limitations set forth in subsection (E), is allowed a credit against his tax liability equal to twenty</w:t>
      </w:r>
      <w:r w:rsidRPr="004C75D9">
        <w:rPr>
          <w:u w:color="000000" w:themeColor="text1"/>
        </w:rPr>
        <w:noBreakHyphen/>
        <w:t>five percent of the cost of the system in the taxable year in which the system is placed in service.</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(3)</w:t>
      </w:r>
      <w:r w:rsidRPr="004C75D9">
        <w:rPr>
          <w:u w:color="000000" w:themeColor="text1"/>
        </w:rPr>
        <w:tab/>
        <w:t>If a taxpayer is not allowed all or part of the credit, the taxpayer would be authorized to receive, because of the limitations set forth in subsection (E), the carry forward years provided in item (1) beginning in the year in which all or part of the credit is first allowed.  However, if the credit is not allowed before tax year 2017, the taxpayer is not eligible to claim the credit.</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(C)</w:t>
      </w:r>
      <w:r w:rsidRPr="004C75D9">
        <w:rPr>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shall not be considered a cost of the system.  The amount of any credit allowed pursuant to this section must be reduced by any credit claimed pursuant to Section 12</w:t>
      </w:r>
      <w:r w:rsidRPr="004C75D9">
        <w:rPr>
          <w:u w:color="000000" w:themeColor="text1"/>
        </w:rPr>
        <w:noBreakHyphen/>
        <w:t>6</w:t>
      </w:r>
      <w:r w:rsidRPr="004C75D9">
        <w:rPr>
          <w:u w:color="000000" w:themeColor="text1"/>
        </w:rPr>
        <w:noBreakHyphen/>
        <w:t>3587 or any other credit allowed pursuant to this title for the solar energy system.  Public funds does not include proceeds of the investment credit pursuant to Section 48 of the Internal Revenue Code, or the grant in lieu thereof under Section 1603 program administered by the United States Department of Treasury.  In no case may a credit allowed pursuant to this section exceed one</w:t>
      </w:r>
      <w:r w:rsidRPr="004C75D9">
        <w:rPr>
          <w:u w:color="000000" w:themeColor="text1"/>
        </w:rPr>
        <w:noBreakHyphen/>
        <w:t>half of the taxpayer’s tax liability for a taxable year.</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(D)</w:t>
      </w:r>
      <w:r w:rsidRPr="004C75D9">
        <w:rPr>
          <w:u w:color="000000" w:themeColor="text1"/>
        </w:rPr>
        <w:tab/>
        <w:t>The credit allowed by this section may not exceed three hundred thirty</w:t>
      </w:r>
      <w:r w:rsidRPr="004C75D9">
        <w:rPr>
          <w:u w:color="000000" w:themeColor="text1"/>
        </w:rPr>
        <w:noBreakHyphen/>
        <w:t>three thousand dollars for each solar energy system installation and the credit may not exceed one million dollars for any taxpayer.</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(E)(1)</w:t>
      </w:r>
      <w:r w:rsidRPr="004C75D9">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If an allocation set forth in this item is not completely exhausted, the remaining amount may be carried forward by the department to the next year and used for the same purpose, and is in addition to the aggregate amount set forth in item (1).  No amount may be carried forward by the department beyond tax year 2016.</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(F)</w:t>
      </w:r>
      <w:r w:rsidRPr="004C75D9">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(G)</w:t>
      </w:r>
      <w:r w:rsidRPr="004C75D9">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(H)</w:t>
      </w:r>
      <w:r w:rsidRPr="004C75D9">
        <w:rPr>
          <w:u w:color="000000" w:themeColor="text1"/>
        </w:rPr>
        <w:tab/>
        <w:t xml:space="preserve">This credit is in no way to imply or allow the third party sale of electricity between parties nor does this section modify the provisions of Title 58 in any way and lessee simply refers to the financial structuring of the payment for the ‘solar energy system’. </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(I)(1)</w:t>
      </w:r>
      <w:r w:rsidRPr="004C75D9">
        <w:rPr>
          <w:u w:color="000000" w:themeColor="text1"/>
        </w:rPr>
        <w:tab/>
        <w:t>After the system is placed in service, a taxpayer seeking to claim the credit provided in this section must submit an application to the State Energy Office for tentative approval of the credit.  Within forty</w:t>
      </w:r>
      <w:r w:rsidRPr="004C75D9">
        <w:rPr>
          <w:u w:color="000000" w:themeColor="text1"/>
        </w:rPr>
        <w:noBreakHyphen/>
        <w:t>five days of receipt of the application, the State Energy Office must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 credit is allowed on a first</w:t>
      </w:r>
      <w:r w:rsidRPr="004C75D9">
        <w:rPr>
          <w:u w:color="000000" w:themeColor="text1"/>
        </w:rPr>
        <w:noBreakHyphen/>
        <w:t>come, first</w:t>
      </w:r>
      <w:r w:rsidRPr="004C75D9">
        <w:rPr>
          <w:u w:color="000000" w:themeColor="text1"/>
        </w:rPr>
        <w:noBreakHyphen/>
        <w:t>serve basis. In no event shall the aggregate amount of tax credits approved by the State Energy Office for all taxpayers in a taxable year exceed the limitations specified in subsection (E). For tax years 2014 and 2015, in the event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(J)(1)</w:t>
      </w:r>
      <w:r w:rsidRPr="004C75D9">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There is a nonrefundable application fee equal to one percent of the credit applied for, but no more than two thousand five hundred dollars.  The fee must accompany the application.  The fee shall be credited to the State Energy Office and shall be used to meet the requirements of this section.</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(K)</w:t>
      </w:r>
      <w:r w:rsidRPr="004C75D9">
        <w:rPr>
          <w:u w:color="000000" w:themeColor="text1"/>
        </w:rPr>
        <w:tab/>
      </w:r>
      <w:r w:rsidRPr="004C75D9">
        <w:t>In addition to the carry forward of unused credit allowed pursuant to this section, unused credit may be transferred, devised, or distributed, with or without consideration, by an individual, partnership, limited liability company, corporation, trust, or estate.  To be effective, such a transfer, devise, or distribution requires written notification to and approval by the department with the unused credit maintaining all its original attributes in the hands of the original recipient including, but not limited to, the limit on the amount by which the taxpayer’s tax liability may be reduced.  With regard to the sale or exchange of a credit allowed pursuant to this section, general income tax principles apply for purposes of the state income tax.</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(L)</w:t>
      </w:r>
      <w:r w:rsidRPr="004C75D9">
        <w:rPr>
          <w:u w:color="000000" w:themeColor="text1"/>
        </w:rPr>
        <w:tab/>
        <w:t>Not later than June 1, 2015, and by June first each year thereafter, the State Energy Office shall prepare a report detailing:</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(1)</w:t>
      </w:r>
      <w:r w:rsidRPr="004C75D9">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(3)</w:t>
      </w:r>
      <w:r w:rsidRPr="004C75D9">
        <w:rPr>
          <w:u w:color="000000" w:themeColor="text1"/>
        </w:rPr>
        <w:tab/>
        <w:t>the number of taxpayers denied the credit based on an ineligibility determination by the department; and</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(4)</w:t>
      </w:r>
      <w:r w:rsidRPr="004C75D9">
        <w:rPr>
          <w:u w:color="000000" w:themeColor="text1"/>
        </w:rPr>
        <w:tab/>
        <w:t>the number of taxpayers eligible for the credit, but placed on the waiting list due to the limitations set forth in subsection (E).</w:t>
      </w: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r>
      <w:r w:rsidRPr="004C75D9">
        <w:rPr>
          <w:u w:color="000000" w:themeColor="text1"/>
        </w:rPr>
        <w:tab/>
        <w:t>The report shall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BE270F"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B.</w:t>
      </w:r>
      <w:r w:rsidRPr="004C75D9">
        <w:rPr>
          <w:u w:color="000000" w:themeColor="text1"/>
        </w:rPr>
        <w:tab/>
      </w:r>
      <w:r w:rsidRPr="004C75D9">
        <w:rPr>
          <w:u w:color="000000" w:themeColor="text1"/>
        </w:rPr>
        <w:tab/>
        <w:t>This SECTION applies to solar energy systems placed in service in taxable years beginning after 2013 and before 2017.</w:t>
      </w:r>
    </w:p>
    <w:p w:rsidR="00BE270F"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SECTION</w:t>
      </w:r>
      <w:r w:rsidRPr="004C75D9">
        <w:rPr>
          <w:u w:color="000000" w:themeColor="text1"/>
        </w:rPr>
        <w:tab/>
        <w:t>2.</w:t>
      </w:r>
      <w:r w:rsidRPr="004C75D9">
        <w:rPr>
          <w:u w:color="000000" w:themeColor="text1"/>
        </w:rPr>
        <w:tab/>
        <w:t>A.</w:t>
      </w:r>
      <w:r>
        <w:rPr>
          <w:u w:color="000000" w:themeColor="text1"/>
        </w:rPr>
        <w:tab/>
      </w:r>
      <w:r w:rsidRPr="004C75D9">
        <w:rPr>
          <w:u w:color="000000" w:themeColor="text1"/>
        </w:rPr>
        <w:tab/>
        <w:t>Section 12</w:t>
      </w:r>
      <w:r w:rsidRPr="004C75D9">
        <w:rPr>
          <w:u w:color="000000" w:themeColor="text1"/>
        </w:rPr>
        <w:noBreakHyphen/>
        <w:t>6</w:t>
      </w:r>
      <w:r w:rsidRPr="004C75D9">
        <w:rPr>
          <w:u w:color="000000" w:themeColor="text1"/>
        </w:rPr>
        <w:noBreakHyphen/>
        <w:t>3587(A) of the 1976 Code is amended to read:</w:t>
      </w:r>
    </w:p>
    <w:p w:rsidR="00BE270F"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“(A)</w:t>
      </w:r>
      <w:r w:rsidRPr="004C75D9">
        <w:rPr>
          <w:u w:color="000000" w:themeColor="text1"/>
        </w:rPr>
        <w:tab/>
      </w:r>
      <w:r w:rsidRPr="004C75D9">
        <w:t>There is allowed as a tax credit against the income tax liability of a taxpayer imposed by this chapter an amount equal to twenty</w:t>
      </w:r>
      <w:r w:rsidRPr="004C75D9">
        <w:noBreakHyphen/>
        <w:t>five percent of the costs incurred by the taxpayer in the purchase and installation of a solar energy system or small hydropower system for heating water, space heating, air cooling, energy</w:t>
      </w:r>
      <w:r w:rsidRPr="004C75D9">
        <w:noBreakHyphen/>
        <w:t>efficient daylighting, heat reclamation, energy</w:t>
      </w:r>
      <w:r w:rsidRPr="004C75D9">
        <w:noBreakHyphen/>
        <w:t xml:space="preserve">efficient demand response, or the generation of electricity in or on a facility in South Carolina and owned by the taxpayer. The tax credit allowed by this section must not be claimed before the completion of the installation.  </w:t>
      </w:r>
      <w:r w:rsidRPr="004C75D9">
        <w:rPr>
          <w:u w:val="single"/>
        </w:rPr>
        <w:t>The credit is allowed without regard to whether or not the owner</w:t>
      </w:r>
      <w:r w:rsidRPr="004C75D9">
        <w:rPr>
          <w:u w:val="single"/>
        </w:rPr>
        <w:noBreakHyphen/>
        <w:t>taxpayer occupies the installation site.</w:t>
      </w:r>
      <w:r w:rsidRPr="004C75D9">
        <w:t xml:space="preserve">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r w:rsidRPr="004C75D9">
        <w:rPr>
          <w:u w:color="000000" w:themeColor="text1"/>
        </w:rPr>
        <w:t>”</w:t>
      </w:r>
    </w:p>
    <w:p w:rsidR="00BE270F"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B.</w:t>
      </w:r>
      <w:r w:rsidRPr="004C75D9">
        <w:rPr>
          <w:u w:color="000000" w:themeColor="text1"/>
        </w:rPr>
        <w:tab/>
      </w:r>
      <w:r>
        <w:rPr>
          <w:u w:color="000000" w:themeColor="text1"/>
        </w:rPr>
        <w:tab/>
      </w:r>
      <w:r w:rsidRPr="004C75D9">
        <w:rPr>
          <w:u w:color="000000" w:themeColor="text1"/>
        </w:rPr>
        <w:t>Section 12</w:t>
      </w:r>
      <w:r w:rsidRPr="004C75D9">
        <w:rPr>
          <w:u w:color="000000" w:themeColor="text1"/>
        </w:rPr>
        <w:noBreakHyphen/>
        <w:t>6</w:t>
      </w:r>
      <w:r w:rsidRPr="004C75D9">
        <w:rPr>
          <w:u w:color="000000" w:themeColor="text1"/>
        </w:rPr>
        <w:noBreakHyphen/>
        <w:t>3587 of the 1976 Code is amended by adding a subsection at the end to read:</w:t>
      </w:r>
    </w:p>
    <w:p w:rsidR="00BE270F"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270F" w:rsidRPr="004C75D9"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“(D)</w:t>
      </w:r>
      <w:r w:rsidRPr="004C75D9">
        <w:rPr>
          <w:u w:color="000000" w:themeColor="text1"/>
        </w:rPr>
        <w:tab/>
        <w:t>With respect to solar energy systems, this section only applies to a system placed in service after tax year 2005 and before tax year 2017.”</w:t>
      </w:r>
    </w:p>
    <w:p w:rsidR="00BE270F"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E270F" w:rsidRDefault="00BE270F"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5D9">
        <w:rPr>
          <w:u w:color="000000" w:themeColor="text1"/>
        </w:rPr>
        <w:t>SECTION</w:t>
      </w:r>
      <w:r w:rsidRPr="004C75D9">
        <w:rPr>
          <w:u w:color="000000" w:themeColor="text1"/>
        </w:rPr>
        <w:tab/>
        <w:t>3.</w:t>
      </w:r>
      <w:r w:rsidRPr="004C75D9">
        <w:rPr>
          <w:u w:color="000000" w:themeColor="text1"/>
        </w:rPr>
        <w:tab/>
        <w:t>Except where otherwise provided, this act takes effect upon approval by the Governor.</w:t>
      </w:r>
    </w:p>
    <w:p w:rsidR="00BE270F" w:rsidRDefault="00BE27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0386" w:rsidRDefault="00320386" w:rsidP="00BE270F">
      <w:pPr>
        <w:pStyle w:val="BillDots"/>
      </w:pPr>
    </w:p>
    <w:sectPr w:rsidR="00320386" w:rsidSect="00BB13C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064" w:rsidRDefault="00341064" w:rsidP="009F0C77">
      <w:r>
        <w:separator/>
      </w:r>
    </w:p>
  </w:endnote>
  <w:endnote w:type="continuationSeparator" w:id="0">
    <w:p w:rsidR="00341064" w:rsidRDefault="00341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D687A8-D43B-44D8-96D3-384F0FBC0C8F}"/>
    <w:embedBold r:id="rId2" w:fontKey="{CCA9D761-99E2-4E03-9F93-B608AA199AB9}"/>
    <w:embedItalic r:id="rId3" w:fontKey="{C867E302-743D-4BF6-B952-F7909441BB2B}"/>
  </w:font>
  <w:font w:name="Calibri">
    <w:panose1 w:val="020F0502020204030204"/>
    <w:charset w:val="00"/>
    <w:family w:val="swiss"/>
    <w:pitch w:val="variable"/>
    <w:sig w:usb0="E10002FF" w:usb1="4000ACFF" w:usb2="00000009" w:usb3="00000000" w:csb0="0000019F" w:csb1="00000000"/>
    <w:embedRegular r:id="rId4" w:fontKey="{4E5286EC-9E3B-4CEE-85B8-8BAC866C11EE}"/>
  </w:font>
  <w:font w:name="Cambria">
    <w:panose1 w:val="02040503050406030204"/>
    <w:charset w:val="00"/>
    <w:family w:val="roman"/>
    <w:pitch w:val="variable"/>
    <w:sig w:usb0="E00002FF" w:usb1="400004FF" w:usb2="00000000" w:usb3="00000000" w:csb0="0000019F" w:csb1="00000000"/>
    <w:embedRegular r:id="rId5" w:fontKey="{BBB1B3DD-01A4-4056-975C-FE2CD0253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70F" w:rsidRPr="00320386" w:rsidRDefault="00BE270F" w:rsidP="00320386">
    <w:pPr>
      <w:pStyle w:val="Footer"/>
      <w:tabs>
        <w:tab w:val="clear" w:pos="4680"/>
        <w:tab w:val="clear" w:pos="9360"/>
        <w:tab w:val="center" w:pos="2995"/>
      </w:tabs>
      <w:spacing w:before="120"/>
    </w:pPr>
    <w:r>
      <w:t>[3834-</w:t>
    </w:r>
    <w:r w:rsidR="00401F69">
      <w:fldChar w:fldCharType="begin"/>
    </w:r>
    <w:r w:rsidR="00401F69">
      <w:instrText xml:space="preserve"> PAGE  \* MERGEFORMAT </w:instrText>
    </w:r>
    <w:r w:rsidR="00401F69">
      <w:fldChar w:fldCharType="separate"/>
    </w:r>
    <w:r w:rsidR="007812AF">
      <w:rPr>
        <w:noProof/>
      </w:rPr>
      <w:t>1</w:t>
    </w:r>
    <w:r w:rsidR="00401F6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C1" w:rsidRPr="00320386" w:rsidRDefault="00BE270F" w:rsidP="00320386">
    <w:pPr>
      <w:pStyle w:val="Footer"/>
      <w:tabs>
        <w:tab w:val="clear" w:pos="4680"/>
        <w:tab w:val="clear" w:pos="9360"/>
        <w:tab w:val="center" w:pos="2995"/>
      </w:tabs>
      <w:spacing w:before="120"/>
    </w:pPr>
    <w:r>
      <w:t>[3834]</w:t>
    </w:r>
    <w:r>
      <w:tab/>
    </w:r>
    <w:r w:rsidR="00215EB0">
      <w:fldChar w:fldCharType="begin"/>
    </w:r>
    <w:r>
      <w:instrText xml:space="preserve"> PAGE  \* MERGEFORMAT </w:instrText>
    </w:r>
    <w:r w:rsidR="00215EB0">
      <w:fldChar w:fldCharType="separate"/>
    </w:r>
    <w:r>
      <w:rPr>
        <w:noProof/>
      </w:rPr>
      <w:t>6</w:t>
    </w:r>
    <w:r w:rsidR="00215EB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064" w:rsidRDefault="00341064" w:rsidP="009F0C77">
      <w:r>
        <w:separator/>
      </w:r>
    </w:p>
  </w:footnote>
  <w:footnote w:type="continuationSeparator" w:id="0">
    <w:p w:rsidR="00341064" w:rsidRDefault="00341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42HTC13"/>
    <w:docVar w:name="CoverBillType" w:val="b"/>
    <w:docVar w:name="docpath" w:val="L:\Council\bills\BBM\10842HTC13.DOCX"/>
    <w:docVar w:name="dvBillNumber" w:val="3834"/>
    <w:docVar w:name="dvBillNumberPrefix" w:val="H. "/>
    <w:docVar w:name="dvOriginalBody" w:val="House"/>
    <w:docVar w:name="dvSteno" w:val="BBM"/>
    <w:docVar w:name="NameofBody" w:val="h"/>
    <w:docVar w:name="vgroup2" w:val="Council"/>
  </w:docVars>
  <w:rsids>
    <w:rsidRoot w:val="008C5133"/>
    <w:rsid w:val="00011869"/>
    <w:rsid w:val="000341F1"/>
    <w:rsid w:val="00042CFF"/>
    <w:rsid w:val="000B7647"/>
    <w:rsid w:val="000B7740"/>
    <w:rsid w:val="000E1785"/>
    <w:rsid w:val="000F40FA"/>
    <w:rsid w:val="0010776B"/>
    <w:rsid w:val="00133E66"/>
    <w:rsid w:val="001435A3"/>
    <w:rsid w:val="00194E30"/>
    <w:rsid w:val="001D08F2"/>
    <w:rsid w:val="001D525B"/>
    <w:rsid w:val="001D7F4F"/>
    <w:rsid w:val="00215EB0"/>
    <w:rsid w:val="002321B6"/>
    <w:rsid w:val="00235033"/>
    <w:rsid w:val="00250967"/>
    <w:rsid w:val="002543C8"/>
    <w:rsid w:val="00255EBA"/>
    <w:rsid w:val="00284AAE"/>
    <w:rsid w:val="002C19B4"/>
    <w:rsid w:val="002E5912"/>
    <w:rsid w:val="00301B21"/>
    <w:rsid w:val="00303DE2"/>
    <w:rsid w:val="00320386"/>
    <w:rsid w:val="00325348"/>
    <w:rsid w:val="0032732C"/>
    <w:rsid w:val="00336AD0"/>
    <w:rsid w:val="00341064"/>
    <w:rsid w:val="0037079A"/>
    <w:rsid w:val="003A1762"/>
    <w:rsid w:val="003C3E49"/>
    <w:rsid w:val="003D01E8"/>
    <w:rsid w:val="003E5288"/>
    <w:rsid w:val="003F6D79"/>
    <w:rsid w:val="00401F69"/>
    <w:rsid w:val="004048B3"/>
    <w:rsid w:val="0041760A"/>
    <w:rsid w:val="00417C01"/>
    <w:rsid w:val="004809EE"/>
    <w:rsid w:val="004E7D54"/>
    <w:rsid w:val="004F6B7B"/>
    <w:rsid w:val="005273C6"/>
    <w:rsid w:val="00530A69"/>
    <w:rsid w:val="00545593"/>
    <w:rsid w:val="00564C97"/>
    <w:rsid w:val="00577C6C"/>
    <w:rsid w:val="005C2FE2"/>
    <w:rsid w:val="005E2BC9"/>
    <w:rsid w:val="00605102"/>
    <w:rsid w:val="00614729"/>
    <w:rsid w:val="006215AA"/>
    <w:rsid w:val="006859E9"/>
    <w:rsid w:val="006913C9"/>
    <w:rsid w:val="0069470D"/>
    <w:rsid w:val="006B323D"/>
    <w:rsid w:val="006C644C"/>
    <w:rsid w:val="006E58B0"/>
    <w:rsid w:val="007167E1"/>
    <w:rsid w:val="00734F00"/>
    <w:rsid w:val="00771566"/>
    <w:rsid w:val="007812AF"/>
    <w:rsid w:val="007A2A5F"/>
    <w:rsid w:val="007A70AE"/>
    <w:rsid w:val="007E78F2"/>
    <w:rsid w:val="008362E8"/>
    <w:rsid w:val="008A1768"/>
    <w:rsid w:val="008C5133"/>
    <w:rsid w:val="008F0F33"/>
    <w:rsid w:val="008F4429"/>
    <w:rsid w:val="0094021A"/>
    <w:rsid w:val="0096028C"/>
    <w:rsid w:val="009B0B92"/>
    <w:rsid w:val="009B44AF"/>
    <w:rsid w:val="009C3171"/>
    <w:rsid w:val="009C6A0B"/>
    <w:rsid w:val="009F0C77"/>
    <w:rsid w:val="009F4DD1"/>
    <w:rsid w:val="00A22481"/>
    <w:rsid w:val="00A41684"/>
    <w:rsid w:val="00A64E80"/>
    <w:rsid w:val="00A72BCD"/>
    <w:rsid w:val="00A741D9"/>
    <w:rsid w:val="00A833AB"/>
    <w:rsid w:val="00A922D8"/>
    <w:rsid w:val="00A9741D"/>
    <w:rsid w:val="00AA2B65"/>
    <w:rsid w:val="00AD4B17"/>
    <w:rsid w:val="00B412D4"/>
    <w:rsid w:val="00B8202D"/>
    <w:rsid w:val="00BE270F"/>
    <w:rsid w:val="00BE3C22"/>
    <w:rsid w:val="00C0345E"/>
    <w:rsid w:val="00C039A3"/>
    <w:rsid w:val="00C1380E"/>
    <w:rsid w:val="00C3483A"/>
    <w:rsid w:val="00C53F74"/>
    <w:rsid w:val="00C74E9D"/>
    <w:rsid w:val="00C82FD3"/>
    <w:rsid w:val="00C92819"/>
    <w:rsid w:val="00CC6B7B"/>
    <w:rsid w:val="00CD2089"/>
    <w:rsid w:val="00D41146"/>
    <w:rsid w:val="00D73A67"/>
    <w:rsid w:val="00D94EB6"/>
    <w:rsid w:val="00D970A9"/>
    <w:rsid w:val="00DB5F1B"/>
    <w:rsid w:val="00DC7919"/>
    <w:rsid w:val="00DF3845"/>
    <w:rsid w:val="00E02632"/>
    <w:rsid w:val="00E03AF7"/>
    <w:rsid w:val="00E41911"/>
    <w:rsid w:val="00E84C04"/>
    <w:rsid w:val="00E92EEF"/>
    <w:rsid w:val="00EE7A3D"/>
    <w:rsid w:val="00F24442"/>
    <w:rsid w:val="00F25188"/>
    <w:rsid w:val="00F50AE3"/>
    <w:rsid w:val="00F67CF1"/>
    <w:rsid w:val="00F83958"/>
    <w:rsid w:val="00F840F0"/>
    <w:rsid w:val="00FB0D0D"/>
    <w:rsid w:val="00FB43B4"/>
    <w:rsid w:val="00FE5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35BEA2-A2C6-4E5E-AD50-C63CF4DB8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3E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0-13.docx" TargetMode="External"/><Relationship Id="rId13" Type="http://schemas.openxmlformats.org/officeDocument/2006/relationships/hyperlink" Target="file:///H:\HJ%20Archive\2014\04-30-14.docx" TargetMode="External"/><Relationship Id="rId18" Type="http://schemas.openxmlformats.org/officeDocument/2006/relationships/hyperlink" Target="file:///p:\pprever\2013-14\3834_201404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3-20-13.docx" TargetMode="External"/><Relationship Id="rId12" Type="http://schemas.openxmlformats.org/officeDocument/2006/relationships/hyperlink" Target="file:///H:\HJ%20Archive\2014\04-29-14.docx" TargetMode="External"/><Relationship Id="rId17" Type="http://schemas.openxmlformats.org/officeDocument/2006/relationships/hyperlink" Target="file:///p:\pprever\2013-14\3834_20140409.docx" TargetMode="External"/><Relationship Id="rId2" Type="http://schemas.openxmlformats.org/officeDocument/2006/relationships/styles" Target="styles.xml"/><Relationship Id="rId16" Type="http://schemas.openxmlformats.org/officeDocument/2006/relationships/hyperlink" Target="file:///p:\pprever\2013-14\3834_201303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5" Type="http://schemas.openxmlformats.org/officeDocument/2006/relationships/footnotes" Target="footnotes.xml"/><Relationship Id="rId15" Type="http://schemas.openxmlformats.org/officeDocument/2006/relationships/hyperlink" Target="file:///H:\SJ%20Archive\2014\04-30-14.docx" TargetMode="External"/><Relationship Id="rId10" Type="http://schemas.openxmlformats.org/officeDocument/2006/relationships/hyperlink" Target="file:///H:\HJ%20Archive\2014\04-29-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SJ%20Archive\2014\04-30-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E0AC5-DB3E-49CF-9EBB-2E29337C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3506</Words>
  <Characters>19987</Characters>
  <Application>Microsoft Office Word</Application>
  <DocSecurity>0</DocSecurity>
  <Lines>166</Lines>
  <Paragraphs>46</Paragraphs>
  <ScaleCrop>false</ScaleCrop>
  <Company>LPITS</Company>
  <LinksUpToDate>false</LinksUpToDate>
  <CharactersWithSpaces>23447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3834: Solar energy system - South Carolina Legislature Online</dc:title>
  <dc:creator>BrendaMelton</dc:creator>
  <cp:lastModifiedBy>N Cumfer</cp:lastModifiedBy>
  <cp:revision>10</cp:revision>
  <cp:lastPrinted>2013-02-07T17:01:00Z</cp:lastPrinted>
  <dcterms:created xsi:type="dcterms:W3CDTF">2014-04-29T22:25:00Z</dcterms:created>
  <dcterms:modified xsi:type="dcterms:W3CDTF">2014-12-05T16:45:00Z</dcterms:modified>
</cp:coreProperties>
</file>