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5FA" w:rsidRDefault="009775FA" w:rsidP="009775FA">
      <w:pPr>
        <w:widowControl w:val="0"/>
        <w:jc w:val="center"/>
      </w:pPr>
      <w:r w:rsidRPr="009775FA">
        <w:rPr>
          <w:b/>
        </w:rPr>
        <w:t>South Carolina General Assembly</w:t>
      </w:r>
    </w:p>
    <w:p w:rsidR="009775FA" w:rsidRDefault="009775FA" w:rsidP="009775FA">
      <w:pPr>
        <w:widowControl w:val="0"/>
        <w:jc w:val="center"/>
      </w:pPr>
      <w:r>
        <w:t>120th Session, 2013-2014</w:t>
      </w:r>
    </w:p>
    <w:p w:rsidR="009775FA" w:rsidRDefault="009775FA" w:rsidP="009775FA">
      <w:pPr>
        <w:widowControl w:val="0"/>
        <w:jc w:val="left"/>
      </w:pPr>
    </w:p>
    <w:p w:rsidR="009775FA" w:rsidRDefault="009775FA" w:rsidP="009775FA">
      <w:pPr>
        <w:widowControl w:val="0"/>
        <w:jc w:val="left"/>
        <w:rPr>
          <w:b/>
        </w:rPr>
      </w:pPr>
      <w:r w:rsidRPr="009775FA">
        <w:rPr>
          <w:b/>
        </w:rPr>
        <w:t>H. 4599</w:t>
      </w:r>
    </w:p>
    <w:p w:rsidR="009775FA" w:rsidRDefault="009775FA" w:rsidP="009775FA">
      <w:pPr>
        <w:widowControl w:val="0"/>
        <w:jc w:val="left"/>
        <w:rPr>
          <w:b/>
        </w:rPr>
      </w:pPr>
    </w:p>
    <w:p w:rsidR="009775FA" w:rsidRDefault="009775FA" w:rsidP="009775FA">
      <w:pPr>
        <w:widowControl w:val="0"/>
        <w:jc w:val="left"/>
      </w:pPr>
      <w:r w:rsidRPr="009775FA">
        <w:rPr>
          <w:b/>
        </w:rPr>
        <w:t>STATUS INFORMATION</w:t>
      </w:r>
    </w:p>
    <w:p w:rsidR="009775FA" w:rsidRDefault="009775FA" w:rsidP="009775FA">
      <w:pPr>
        <w:widowControl w:val="0"/>
        <w:jc w:val="left"/>
      </w:pPr>
    </w:p>
    <w:p w:rsidR="009775FA" w:rsidRDefault="009775FA" w:rsidP="009775FA">
      <w:pPr>
        <w:widowControl w:val="0"/>
        <w:jc w:val="left"/>
      </w:pPr>
      <w:r>
        <w:t>General Bill</w:t>
      </w:r>
    </w:p>
    <w:p w:rsidR="009775FA" w:rsidRDefault="009775FA" w:rsidP="009775FA">
      <w:pPr>
        <w:widowControl w:val="0"/>
        <w:jc w:val="left"/>
      </w:pPr>
      <w:r>
        <w:t>Sponsors: Reps. Hardee and Ryhal</w:t>
      </w:r>
    </w:p>
    <w:p w:rsidR="009775FA" w:rsidRDefault="009775FA" w:rsidP="009775FA">
      <w:pPr>
        <w:widowControl w:val="0"/>
        <w:jc w:val="left"/>
      </w:pPr>
      <w:r>
        <w:t>Document Path: l:\council\bills\bh\26061dg14.docx</w:t>
      </w:r>
    </w:p>
    <w:p w:rsidR="009775FA" w:rsidRDefault="009775FA" w:rsidP="009775FA">
      <w:pPr>
        <w:widowControl w:val="0"/>
        <w:jc w:val="left"/>
      </w:pPr>
    </w:p>
    <w:p w:rsidR="009775FA" w:rsidRDefault="009775FA" w:rsidP="009775FA">
      <w:pPr>
        <w:widowControl w:val="0"/>
        <w:jc w:val="left"/>
      </w:pPr>
      <w:r>
        <w:t>Introduced in the House on February 5, 2014</w:t>
      </w:r>
    </w:p>
    <w:p w:rsidR="009775FA" w:rsidRDefault="009775FA" w:rsidP="009775FA">
      <w:pPr>
        <w:widowControl w:val="0"/>
        <w:jc w:val="left"/>
      </w:pPr>
      <w:r>
        <w:t xml:space="preserve">Currently residing in the House Committee on </w:t>
      </w:r>
      <w:r w:rsidRPr="009775FA">
        <w:rPr>
          <w:b/>
        </w:rPr>
        <w:t>Agriculture, Natural Resources and Environmental Affairs</w:t>
      </w:r>
    </w:p>
    <w:p w:rsidR="009775FA" w:rsidRDefault="009775FA" w:rsidP="009775FA">
      <w:pPr>
        <w:widowControl w:val="0"/>
        <w:jc w:val="left"/>
      </w:pPr>
    </w:p>
    <w:p w:rsidR="009775FA" w:rsidRDefault="009775FA" w:rsidP="009775FA">
      <w:pPr>
        <w:widowControl w:val="0"/>
        <w:jc w:val="left"/>
      </w:pPr>
      <w:r>
        <w:t xml:space="preserve">Summary: </w:t>
      </w:r>
      <w:r w:rsidR="00414E23">
        <w:t>Building Codes on farm structures</w:t>
      </w:r>
    </w:p>
    <w:p w:rsidR="009775FA" w:rsidRDefault="009775FA" w:rsidP="009775FA">
      <w:pPr>
        <w:widowControl w:val="0"/>
        <w:jc w:val="left"/>
      </w:pPr>
    </w:p>
    <w:p w:rsidR="009775FA" w:rsidRDefault="009775FA" w:rsidP="009775FA">
      <w:pPr>
        <w:widowControl w:val="0"/>
        <w:jc w:val="left"/>
      </w:pPr>
    </w:p>
    <w:p w:rsidR="009775FA" w:rsidRDefault="009775FA" w:rsidP="009775FA">
      <w:pPr>
        <w:widowControl w:val="0"/>
        <w:tabs>
          <w:tab w:val="center" w:pos="590"/>
          <w:tab w:val="center" w:pos="1440"/>
          <w:tab w:val="left" w:pos="1872"/>
          <w:tab w:val="left" w:pos="9187"/>
        </w:tabs>
        <w:jc w:val="left"/>
      </w:pPr>
      <w:r w:rsidRPr="009775FA">
        <w:rPr>
          <w:b/>
        </w:rPr>
        <w:t>HISTORY OF LEGISLATIVE ACTIONS</w:t>
      </w:r>
    </w:p>
    <w:p w:rsidR="009775FA" w:rsidRDefault="009775FA" w:rsidP="009775FA">
      <w:pPr>
        <w:widowControl w:val="0"/>
        <w:tabs>
          <w:tab w:val="center" w:pos="590"/>
          <w:tab w:val="center" w:pos="1440"/>
          <w:tab w:val="left" w:pos="1872"/>
          <w:tab w:val="left" w:pos="9187"/>
        </w:tabs>
        <w:jc w:val="left"/>
      </w:pPr>
    </w:p>
    <w:p w:rsidR="009775FA" w:rsidRPr="009775FA" w:rsidRDefault="009775FA" w:rsidP="009775FA">
      <w:pPr>
        <w:widowControl w:val="0"/>
        <w:tabs>
          <w:tab w:val="center" w:pos="590"/>
          <w:tab w:val="center" w:pos="1440"/>
          <w:tab w:val="left" w:pos="1872"/>
          <w:tab w:val="left" w:pos="9187"/>
        </w:tabs>
        <w:jc w:val="left"/>
      </w:pPr>
      <w:r w:rsidRPr="009775FA">
        <w:rPr>
          <w:u w:val="single"/>
        </w:rPr>
        <w:tab/>
        <w:t>Date</w:t>
      </w:r>
      <w:r w:rsidRPr="009775FA">
        <w:rPr>
          <w:u w:val="single"/>
        </w:rPr>
        <w:tab/>
        <w:t>Body</w:t>
      </w:r>
      <w:r w:rsidRPr="009775FA">
        <w:rPr>
          <w:u w:val="single"/>
        </w:rPr>
        <w:tab/>
        <w:t>Action Description with journal page number</w:t>
      </w:r>
      <w:r w:rsidRPr="009775FA">
        <w:rPr>
          <w:u w:val="single"/>
        </w:rPr>
        <w:tab/>
      </w:r>
      <w:bookmarkStart w:id="0" w:name="_GoBack"/>
      <w:bookmarkEnd w:id="0"/>
    </w:p>
    <w:p w:rsidR="00065C34" w:rsidRDefault="00065C34" w:rsidP="00065C34">
      <w:pPr>
        <w:widowControl w:val="0"/>
        <w:tabs>
          <w:tab w:val="right" w:pos="1008"/>
          <w:tab w:val="left" w:pos="1152"/>
          <w:tab w:val="left" w:pos="1872"/>
          <w:tab w:val="left" w:pos="9187"/>
        </w:tabs>
        <w:ind w:left="2088" w:hanging="2088"/>
        <w:jc w:val="left"/>
      </w:pPr>
      <w:r>
        <w:tab/>
        <w:t>2/5/2014</w:t>
      </w:r>
      <w:r>
        <w:tab/>
        <w:t>House</w:t>
      </w:r>
      <w:r>
        <w:tab/>
      </w:r>
      <w:r w:rsidRPr="00CD30DB">
        <w:t>Introduced and read first time (</w:t>
      </w:r>
      <w:hyperlink r:id="rId7" w:history="1">
        <w:r w:rsidRPr="00CD30DB">
          <w:rPr>
            <w:rStyle w:val="Hyperlink"/>
          </w:rPr>
          <w:t>House Journal</w:t>
        </w:r>
        <w:r w:rsidRPr="00CD30DB">
          <w:rPr>
            <w:rStyle w:val="Hyperlink"/>
          </w:rPr>
          <w:noBreakHyphen/>
          <w:t>page 8</w:t>
        </w:r>
      </w:hyperlink>
      <w:r w:rsidRPr="00CD30DB">
        <w:t>)</w:t>
      </w:r>
    </w:p>
    <w:p w:rsidR="00065C34" w:rsidRDefault="00065C34" w:rsidP="00065C34">
      <w:pPr>
        <w:widowControl w:val="0"/>
        <w:tabs>
          <w:tab w:val="right" w:pos="1008"/>
          <w:tab w:val="left" w:pos="1152"/>
          <w:tab w:val="left" w:pos="1872"/>
          <w:tab w:val="left" w:pos="9187"/>
        </w:tabs>
        <w:ind w:left="2088" w:hanging="2088"/>
        <w:jc w:val="left"/>
      </w:pPr>
      <w:r>
        <w:tab/>
        <w:t>2/5/2014</w:t>
      </w:r>
      <w:r>
        <w:tab/>
        <w:t>House</w:t>
      </w:r>
      <w:r>
        <w:tab/>
      </w:r>
      <w:r w:rsidRPr="00CD30DB">
        <w:t>Referred to Co</w:t>
      </w:r>
      <w:r>
        <w:t xml:space="preserve">mmittee on </w:t>
      </w:r>
      <w:r w:rsidRPr="00CD30DB">
        <w:rPr>
          <w:b/>
        </w:rPr>
        <w:t>Agriculture, Natural Resources and Environmental Affairs</w:t>
      </w:r>
      <w:r>
        <w:t xml:space="preserve"> </w:t>
      </w:r>
      <w:r w:rsidRPr="00CD30DB">
        <w:t>(</w:t>
      </w:r>
      <w:hyperlink r:id="rId8" w:history="1">
        <w:r w:rsidRPr="00CD30DB">
          <w:rPr>
            <w:rStyle w:val="Hyperlink"/>
          </w:rPr>
          <w:t>House Journal</w:t>
        </w:r>
        <w:r w:rsidRPr="00CD30DB">
          <w:rPr>
            <w:rStyle w:val="Hyperlink"/>
          </w:rPr>
          <w:noBreakHyphen/>
          <w:t>page 8</w:t>
        </w:r>
      </w:hyperlink>
      <w:r w:rsidRPr="00CD30DB">
        <w:t>)</w:t>
      </w:r>
    </w:p>
    <w:p w:rsidR="00065C34" w:rsidRDefault="00065C34" w:rsidP="00065C34">
      <w:pPr>
        <w:widowControl w:val="0"/>
        <w:tabs>
          <w:tab w:val="right" w:pos="1008"/>
          <w:tab w:val="left" w:pos="1152"/>
          <w:tab w:val="left" w:pos="1872"/>
          <w:tab w:val="left" w:pos="9187"/>
        </w:tabs>
        <w:ind w:left="2088" w:hanging="2088"/>
        <w:jc w:val="left"/>
      </w:pPr>
    </w:p>
    <w:p w:rsidR="009775FA" w:rsidRPr="009775FA" w:rsidRDefault="009775FA" w:rsidP="009775FA">
      <w:pPr>
        <w:widowControl w:val="0"/>
        <w:tabs>
          <w:tab w:val="right" w:pos="1008"/>
          <w:tab w:val="left" w:pos="1152"/>
          <w:tab w:val="left" w:pos="1872"/>
          <w:tab w:val="left" w:pos="9187"/>
        </w:tabs>
        <w:ind w:left="2088" w:hanging="2088"/>
        <w:jc w:val="left"/>
      </w:pPr>
    </w:p>
    <w:p w:rsidR="009775FA" w:rsidRDefault="009775FA" w:rsidP="009775FA">
      <w:pPr>
        <w:widowControl w:val="0"/>
        <w:jc w:val="left"/>
      </w:pPr>
      <w:r w:rsidRPr="009775FA">
        <w:rPr>
          <w:b/>
        </w:rPr>
        <w:t>VERSIONS OF THIS BILL</w:t>
      </w:r>
    </w:p>
    <w:p w:rsidR="009775FA" w:rsidRDefault="009775FA" w:rsidP="009775FA">
      <w:pPr>
        <w:widowControl w:val="0"/>
        <w:jc w:val="left"/>
      </w:pPr>
    </w:p>
    <w:p w:rsidR="009775FA" w:rsidRDefault="001341AF" w:rsidP="009775FA">
      <w:pPr>
        <w:widowControl w:val="0"/>
        <w:jc w:val="left"/>
      </w:pPr>
      <w:hyperlink r:id="rId9" w:history="1">
        <w:r w:rsidR="009775FA">
          <w:rPr>
            <w:rStyle w:val="Hyperlink"/>
          </w:rPr>
          <w:t>2/5/2014</w:t>
        </w:r>
      </w:hyperlink>
    </w:p>
    <w:p w:rsidR="009775FA" w:rsidRDefault="009775FA" w:rsidP="009775FA"/>
    <w:p w:rsidR="009775FA" w:rsidRDefault="009775FA" w:rsidP="009775FA">
      <w:pPr>
        <w:sectPr w:rsidR="009775FA" w:rsidSect="009775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1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5027E0">
        <w:noBreakHyphen/>
      </w:r>
      <w:r>
        <w:t>9</w:t>
      </w:r>
      <w:r w:rsidR="005027E0">
        <w:noBreakHyphen/>
      </w:r>
      <w:r>
        <w:t xml:space="preserve">65, </w:t>
      </w:r>
      <w:r w:rsidR="000C5E59">
        <w:t xml:space="preserve">AS AMENDED, </w:t>
      </w:r>
      <w:r>
        <w:t>CODE OF LAWS OF SOUTH CAROLINA, 1976, RELATING TO THE INAPPLICABILITY OF CERTAIN BUILDING CODES ON FARM STRUCTURES, SO AS TO FURTHER DEFINE “FARM STRUCTURE”.</w:t>
      </w:r>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1BFA"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938" w:rsidRDefault="000C1BFA"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60938">
        <w:t>Section 6</w:t>
      </w:r>
      <w:r w:rsidR="005027E0">
        <w:noBreakHyphen/>
      </w:r>
      <w:r w:rsidR="00460938">
        <w:t>9</w:t>
      </w:r>
      <w:r w:rsidR="005027E0">
        <w:noBreakHyphen/>
      </w:r>
      <w:r w:rsidR="00460938">
        <w:t>65(A) of the 1976 Code is amended to read:</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142698">
        <w:rPr>
          <w:color w:val="000000" w:themeColor="text1"/>
          <w:u w:color="000000" w:themeColor="text1"/>
        </w:rPr>
        <w:t>(A) For purposes of this section</w:t>
      </w:r>
      <w:r w:rsidRPr="00460938">
        <w:rPr>
          <w:strike/>
          <w:color w:val="000000" w:themeColor="text1"/>
          <w:u w:color="000000" w:themeColor="text1"/>
        </w:rPr>
        <w:t>,</w:t>
      </w:r>
      <w:r>
        <w:rPr>
          <w:color w:val="000000" w:themeColor="text1"/>
          <w:u w:val="single" w:color="000000" w:themeColor="text1"/>
        </w:rPr>
        <w:t>:</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5027E0" w:rsidRPr="005027E0">
        <w:rPr>
          <w:color w:val="000000" w:themeColor="text1"/>
          <w:u w:color="000000" w:themeColor="text1"/>
        </w:rPr>
        <w:t>‘</w:t>
      </w:r>
      <w:r w:rsidRPr="000C5E59">
        <w:rPr>
          <w:strike/>
          <w:color w:val="000000" w:themeColor="text1"/>
          <w:u w:color="000000" w:themeColor="text1"/>
        </w:rPr>
        <w:t>farm</w:t>
      </w:r>
      <w:r w:rsidRPr="00142698">
        <w:rPr>
          <w:color w:val="000000" w:themeColor="text1"/>
          <w:u w:color="000000" w:themeColor="text1"/>
        </w:rPr>
        <w:t xml:space="preserve"> </w:t>
      </w:r>
      <w:r w:rsidR="000C5E59">
        <w:rPr>
          <w:color w:val="000000" w:themeColor="text1"/>
          <w:u w:val="single" w:color="000000" w:themeColor="text1"/>
        </w:rPr>
        <w:t>Farm</w:t>
      </w:r>
      <w:r w:rsidR="000C5E59">
        <w:rPr>
          <w:color w:val="000000" w:themeColor="text1"/>
          <w:u w:color="000000" w:themeColor="text1"/>
        </w:rPr>
        <w:t xml:space="preserve"> </w:t>
      </w:r>
      <w:r w:rsidRPr="00142698">
        <w:rPr>
          <w:color w:val="000000" w:themeColor="text1"/>
          <w:u w:color="000000" w:themeColor="text1"/>
        </w:rPr>
        <w:t>structure</w:t>
      </w:r>
      <w:r w:rsidR="005027E0" w:rsidRPr="005027E0">
        <w:rPr>
          <w:color w:val="000000" w:themeColor="text1"/>
          <w:u w:color="000000" w:themeColor="text1"/>
        </w:rPr>
        <w:t>’</w:t>
      </w:r>
      <w:r w:rsidRPr="00142698">
        <w:rPr>
          <w:color w:val="000000" w:themeColor="text1"/>
          <w:u w:color="000000" w:themeColor="text1"/>
        </w:rPr>
        <w:t xml:space="preserve"> means a structure which is constructed on a farm, other than a residence or a structure attached to it, for use on the farm including, but not limited to, barns, sheds, </w:t>
      </w:r>
      <w:r>
        <w:rPr>
          <w:color w:val="000000" w:themeColor="text1"/>
          <w:u w:val="single" w:color="000000" w:themeColor="text1"/>
        </w:rPr>
        <w:t>primitive camps, primitive farm buildings,</w:t>
      </w:r>
      <w:r>
        <w:rPr>
          <w:color w:val="000000" w:themeColor="text1"/>
          <w:u w:color="000000" w:themeColor="text1"/>
        </w:rPr>
        <w:t xml:space="preserve"> </w:t>
      </w:r>
      <w:r w:rsidRPr="00142698">
        <w:rPr>
          <w:color w:val="000000" w:themeColor="text1"/>
          <w:u w:color="000000" w:themeColor="text1"/>
        </w:rPr>
        <w:t xml:space="preserve">and poultry houses, but not public livestock areas. For purposes of this section, </w:t>
      </w:r>
      <w:r w:rsidR="005027E0" w:rsidRPr="005027E0">
        <w:rPr>
          <w:color w:val="000000" w:themeColor="text1"/>
          <w:u w:color="000000" w:themeColor="text1"/>
        </w:rPr>
        <w:t>‘</w:t>
      </w:r>
      <w:r w:rsidRPr="00142698">
        <w:rPr>
          <w:color w:val="000000" w:themeColor="text1"/>
          <w:u w:color="000000" w:themeColor="text1"/>
        </w:rPr>
        <w:t>farm structure</w:t>
      </w:r>
      <w:r w:rsidR="005027E0" w:rsidRPr="005027E0">
        <w:rPr>
          <w:color w:val="000000" w:themeColor="text1"/>
          <w:u w:color="000000" w:themeColor="text1"/>
        </w:rPr>
        <w:t>’</w:t>
      </w:r>
      <w:r w:rsidRPr="00142698">
        <w:rPr>
          <w:color w:val="000000" w:themeColor="text1"/>
          <w:u w:color="000000" w:themeColor="text1"/>
        </w:rPr>
        <w:t xml:space="preserve"> does not include a struct</w:t>
      </w:r>
      <w:r w:rsidR="005027E0">
        <w:rPr>
          <w:color w:val="000000" w:themeColor="text1"/>
          <w:u w:color="000000" w:themeColor="text1"/>
        </w:rPr>
        <w:t xml:space="preserve">ure originally qualifying as a </w:t>
      </w:r>
      <w:r w:rsidR="005027E0" w:rsidRPr="005027E0">
        <w:rPr>
          <w:color w:val="000000" w:themeColor="text1"/>
          <w:u w:color="000000" w:themeColor="text1"/>
        </w:rPr>
        <w:t>‘</w:t>
      </w:r>
      <w:r w:rsidRPr="00142698">
        <w:rPr>
          <w:color w:val="000000" w:themeColor="text1"/>
          <w:u w:color="000000" w:themeColor="text1"/>
        </w:rPr>
        <w:t>farm structure</w:t>
      </w:r>
      <w:r w:rsidR="005027E0" w:rsidRPr="005027E0">
        <w:rPr>
          <w:color w:val="000000" w:themeColor="text1"/>
          <w:u w:color="000000" w:themeColor="text1"/>
        </w:rPr>
        <w:t>’</w:t>
      </w:r>
      <w:r w:rsidRPr="00142698">
        <w:rPr>
          <w:color w:val="000000" w:themeColor="text1"/>
          <w:u w:color="000000" w:themeColor="text1"/>
        </w:rPr>
        <w:t xml:space="preserve"> but later converted to another use</w:t>
      </w:r>
      <w:r w:rsidR="000C5E59">
        <w:rPr>
          <w:color w:val="000000" w:themeColor="text1"/>
          <w:u w:val="single" w:color="000000" w:themeColor="text1"/>
        </w:rPr>
        <w:t>.</w:t>
      </w:r>
    </w:p>
    <w:p w:rsidR="00460938" w:rsidRDefault="001D733C"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733C">
        <w:rPr>
          <w:color w:val="000000" w:themeColor="text1"/>
          <w:u w:color="000000" w:themeColor="text1"/>
        </w:rPr>
        <w:tab/>
      </w:r>
      <w:r w:rsidRPr="001D733C">
        <w:rPr>
          <w:color w:val="000000" w:themeColor="text1"/>
          <w:u w:color="000000" w:themeColor="text1"/>
        </w:rPr>
        <w:tab/>
      </w:r>
      <w:r w:rsidR="00460938">
        <w:rPr>
          <w:color w:val="000000" w:themeColor="text1"/>
          <w:u w:val="single" w:color="000000" w:themeColor="text1"/>
        </w:rPr>
        <w:t>(2)</w:t>
      </w:r>
      <w:r w:rsidRPr="001D733C">
        <w:rPr>
          <w:color w:val="000000" w:themeColor="text1"/>
          <w:u w:color="000000" w:themeColor="text1"/>
        </w:rPr>
        <w:tab/>
      </w:r>
      <w:r w:rsidR="005027E0" w:rsidRPr="005027E0">
        <w:rPr>
          <w:color w:val="000000" w:themeColor="text1"/>
          <w:u w:val="single" w:color="000000" w:themeColor="text1"/>
        </w:rPr>
        <w:t>‘</w:t>
      </w:r>
      <w:r w:rsidR="000C5E59">
        <w:rPr>
          <w:color w:val="000000" w:themeColor="text1"/>
          <w:u w:val="single" w:color="000000" w:themeColor="text1"/>
        </w:rPr>
        <w:t>P</w:t>
      </w:r>
      <w:r w:rsidR="00460938">
        <w:rPr>
          <w:color w:val="000000" w:themeColor="text1"/>
          <w:u w:val="single" w:color="000000" w:themeColor="text1"/>
        </w:rPr>
        <w:t>rimitive camp</w:t>
      </w:r>
      <w:r w:rsidR="005027E0" w:rsidRPr="005027E0">
        <w:rPr>
          <w:color w:val="000000" w:themeColor="text1"/>
          <w:u w:val="single" w:color="000000" w:themeColor="text1"/>
        </w:rPr>
        <w:t>’</w:t>
      </w:r>
      <w:r w:rsidR="00460938">
        <w:rPr>
          <w:color w:val="000000" w:themeColor="text1"/>
          <w:u w:val="single" w:color="000000" w:themeColor="text1"/>
        </w:rPr>
        <w:t xml:space="preserve"> means any structure primarily used or associated with outdoor camping activities, including structures used for educational, instructional, or recreational purposes for campers and for management training that are</w:t>
      </w:r>
      <w:r w:rsidR="000C5E59">
        <w:rPr>
          <w:color w:val="000000" w:themeColor="text1"/>
          <w:u w:val="single" w:color="000000" w:themeColor="text1"/>
        </w:rPr>
        <w:t>:</w:t>
      </w:r>
      <w:r w:rsidR="00460938">
        <w:rPr>
          <w:color w:val="000000" w:themeColor="text1"/>
          <w:u w:val="single" w:color="000000" w:themeColor="text1"/>
        </w:rPr>
        <w:t xml:space="preserve"> (</w:t>
      </w:r>
      <w:r w:rsidR="000C5E59">
        <w:rPr>
          <w:color w:val="000000" w:themeColor="text1"/>
          <w:u w:val="single" w:color="000000" w:themeColor="text1"/>
        </w:rPr>
        <w:t>a</w:t>
      </w:r>
      <w:r w:rsidR="00460938">
        <w:rPr>
          <w:color w:val="000000" w:themeColor="text1"/>
          <w:u w:val="single" w:color="000000" w:themeColor="text1"/>
        </w:rPr>
        <w:t>) not greater than four thousand square feet in size and (</w:t>
      </w:r>
      <w:r w:rsidR="000C5E59">
        <w:rPr>
          <w:color w:val="000000" w:themeColor="text1"/>
          <w:u w:val="single" w:color="000000" w:themeColor="text1"/>
        </w:rPr>
        <w:t>b</w:t>
      </w:r>
      <w:r w:rsidR="00460938">
        <w:rPr>
          <w:color w:val="000000" w:themeColor="text1"/>
          <w:u w:val="single" w:color="000000" w:themeColor="text1"/>
        </w:rPr>
        <w:t>) are not intended to be occupied for more than twenty</w:t>
      </w:r>
      <w:r w:rsidR="005027E0">
        <w:rPr>
          <w:color w:val="000000" w:themeColor="text1"/>
          <w:u w:val="single" w:color="000000" w:themeColor="text1"/>
        </w:rPr>
        <w:noBreakHyphen/>
      </w:r>
      <w:r w:rsidR="00460938">
        <w:rPr>
          <w:color w:val="000000" w:themeColor="text1"/>
          <w:u w:val="single" w:color="000000" w:themeColor="text1"/>
        </w:rPr>
        <w:t xml:space="preserve">four hours consecutively.  </w:t>
      </w:r>
      <w:r w:rsidR="005027E0" w:rsidRPr="005027E0">
        <w:rPr>
          <w:color w:val="000000" w:themeColor="text1"/>
          <w:u w:val="single" w:color="000000" w:themeColor="text1"/>
        </w:rPr>
        <w:t>‘</w:t>
      </w:r>
      <w:r w:rsidR="00460938">
        <w:rPr>
          <w:color w:val="000000" w:themeColor="text1"/>
          <w:u w:val="single" w:color="000000" w:themeColor="text1"/>
        </w:rPr>
        <w:t>Structures primarily used or associated with outdoor camping activities</w:t>
      </w:r>
      <w:r w:rsidR="005027E0" w:rsidRPr="005027E0">
        <w:rPr>
          <w:color w:val="000000" w:themeColor="text1"/>
          <w:u w:val="single" w:color="000000" w:themeColor="text1"/>
        </w:rPr>
        <w:t>’</w:t>
      </w:r>
      <w:r w:rsidR="00460938">
        <w:rPr>
          <w:color w:val="000000" w:themeColor="text1"/>
          <w:u w:val="single" w:color="000000" w:themeColor="text1"/>
        </w:rPr>
        <w:t xml:space="preserve"> include, but are not limited to, shelters, tree stands, outhouses, sheds, rustic cabins, campfire shelters, picnic shelters, tents, tepees or other indigenous huts, support buildings used only for administrative functions and not for activities involving campers or program participants, and any other structures that are </w:t>
      </w:r>
      <w:r w:rsidR="00460938">
        <w:rPr>
          <w:color w:val="000000" w:themeColor="text1"/>
          <w:u w:val="single" w:color="000000" w:themeColor="text1"/>
        </w:rPr>
        <w:lastRenderedPageBreak/>
        <w:t>utilized to store any equipment, tools, commodities, or other items that are maintained or used in conjunction with outdoor camping activities such as hiking, fishing, hunting, or nature appreciation, regardless of material used for construction.  The specific types of primitive camping activities, structures, and uses set forth in this item are for illustrative purposes and should not be construed to limit, in any manner, the types of activities, structures, or uses that are exempted from building rules</w:t>
      </w:r>
      <w:r w:rsidR="000C5E59">
        <w:rPr>
          <w:color w:val="000000" w:themeColor="text1"/>
          <w:u w:val="single" w:color="000000" w:themeColor="text1"/>
        </w:rPr>
        <w:t>.</w:t>
      </w:r>
    </w:p>
    <w:p w:rsidR="00460938" w:rsidRDefault="001D733C"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33C">
        <w:rPr>
          <w:color w:val="000000" w:themeColor="text1"/>
          <w:u w:color="000000" w:themeColor="text1"/>
        </w:rPr>
        <w:tab/>
      </w:r>
      <w:r w:rsidRPr="001D733C">
        <w:rPr>
          <w:color w:val="000000" w:themeColor="text1"/>
          <w:u w:color="000000" w:themeColor="text1"/>
        </w:rPr>
        <w:tab/>
      </w:r>
      <w:r w:rsidR="00460938">
        <w:rPr>
          <w:color w:val="000000" w:themeColor="text1"/>
          <w:u w:val="single" w:color="000000" w:themeColor="text1"/>
        </w:rPr>
        <w:t>(3)</w:t>
      </w:r>
      <w:r w:rsidRPr="001D733C">
        <w:rPr>
          <w:color w:val="000000" w:themeColor="text1"/>
          <w:u w:color="000000" w:themeColor="text1"/>
        </w:rPr>
        <w:tab/>
      </w:r>
      <w:r w:rsidR="005027E0" w:rsidRPr="005027E0">
        <w:rPr>
          <w:color w:val="000000" w:themeColor="text1"/>
          <w:u w:val="single" w:color="000000" w:themeColor="text1"/>
        </w:rPr>
        <w:t>‘</w:t>
      </w:r>
      <w:r w:rsidR="000C5E59">
        <w:rPr>
          <w:color w:val="000000" w:themeColor="text1"/>
          <w:u w:val="single" w:color="000000" w:themeColor="text1"/>
        </w:rPr>
        <w:t>P</w:t>
      </w:r>
      <w:r w:rsidR="00460938">
        <w:rPr>
          <w:color w:val="000000" w:themeColor="text1"/>
          <w:u w:val="single" w:color="000000" w:themeColor="text1"/>
        </w:rPr>
        <w:t>rimitive farm building</w:t>
      </w:r>
      <w:r w:rsidR="005027E0" w:rsidRPr="005027E0">
        <w:rPr>
          <w:color w:val="000000" w:themeColor="text1"/>
          <w:u w:val="single" w:color="000000" w:themeColor="text1"/>
        </w:rPr>
        <w:t>’</w:t>
      </w:r>
      <w:r w:rsidR="00460938">
        <w:rPr>
          <w:color w:val="000000" w:themeColor="text1"/>
          <w:u w:val="single" w:color="000000" w:themeColor="text1"/>
        </w:rPr>
        <w:t xml:space="preserve"> means any structure used for activities, instruction, training, or reenactment of traditional or heritage farming practices.  The term includes, but is not limited to, sheds, barns, outhouses, dog houses, or other structures that are utilized to store any equipment, tools, commodities, livestock, or other items supporting farm management.  These specific types of farming activities, structures, and uses set forth by this item are for illustrative purposes and should not be construed to limit in any manner the types of activities, structures, or uses that are exempted from building rules</w:t>
      </w:r>
      <w:r w:rsidR="00460938">
        <w:rPr>
          <w:color w:val="000000" w:themeColor="text1"/>
          <w:u w:color="000000" w:themeColor="text1"/>
        </w:rPr>
        <w:t>.”</w:t>
      </w:r>
    </w:p>
    <w:p w:rsidR="00460938" w:rsidRDefault="00460938" w:rsidP="0046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0938">
        <w:t>2</w:t>
      </w:r>
      <w:r>
        <w:t>.</w:t>
      </w:r>
      <w:r>
        <w:tab/>
        <w:t>This act takes effect upon approval by the Governor.</w:t>
      </w:r>
    </w:p>
    <w:p w:rsidR="00B057ED" w:rsidRDefault="00502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7ED" w:rsidRDefault="00B057ED" w:rsidP="009775FA">
      <w:pPr>
        <w:suppressAutoHyphens/>
      </w:pPr>
    </w:p>
    <w:sectPr w:rsidR="00B057ED" w:rsidSect="009775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BFA" w:rsidRDefault="000C1BFA" w:rsidP="009F0C77">
      <w:r>
        <w:separator/>
      </w:r>
    </w:p>
  </w:endnote>
  <w:endnote w:type="continuationSeparator" w:id="0">
    <w:p w:rsidR="000C1BFA" w:rsidRDefault="000C1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5235C0-F1DD-4C29-A7E8-D202924FF169}"/>
    <w:embedBold r:id="rId2" w:fontKey="{303DC3F0-5E0D-4E40-9179-72FEBFFA0154}"/>
  </w:font>
  <w:font w:name="Calibri">
    <w:panose1 w:val="020F0502020204030204"/>
    <w:charset w:val="00"/>
    <w:family w:val="swiss"/>
    <w:pitch w:val="variable"/>
    <w:sig w:usb0="E10002FF" w:usb1="4000ACFF" w:usb2="00000009" w:usb3="00000000" w:csb0="0000019F" w:csb1="00000000"/>
    <w:embedRegular r:id="rId3" w:fontKey="{33FC7D3C-FD82-4320-8F1E-6B885E9DE3A6}"/>
  </w:font>
  <w:font w:name="Cambria">
    <w:panose1 w:val="02040503050406030204"/>
    <w:charset w:val="00"/>
    <w:family w:val="roman"/>
    <w:pitch w:val="variable"/>
    <w:sig w:usb0="E00002FF" w:usb1="400004FF" w:usb2="00000000" w:usb3="00000000" w:csb0="0000019F" w:csb1="00000000"/>
    <w:embedRegular r:id="rId4" w:fontKey="{2B14C93B-2892-4F69-8863-0E1F04776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5FA" w:rsidRPr="00B057ED" w:rsidRDefault="009775FA" w:rsidP="00B057ED">
    <w:pPr>
      <w:pStyle w:val="Footer"/>
      <w:tabs>
        <w:tab w:val="clear" w:pos="4680"/>
        <w:tab w:val="clear" w:pos="9360"/>
        <w:tab w:val="center" w:pos="2995"/>
      </w:tabs>
      <w:spacing w:before="120"/>
    </w:pPr>
    <w:r>
      <w:t>[4599]</w:t>
    </w:r>
    <w:r>
      <w:tab/>
    </w:r>
    <w:r w:rsidR="000E47E7">
      <w:fldChar w:fldCharType="begin"/>
    </w:r>
    <w:r w:rsidR="000E47E7">
      <w:instrText xml:space="preserve"> PAGE  \* MERGEFORMAT </w:instrText>
    </w:r>
    <w:r w:rsidR="000E47E7">
      <w:fldChar w:fldCharType="separate"/>
    </w:r>
    <w:r w:rsidR="001341AF">
      <w:rPr>
        <w:noProof/>
      </w:rPr>
      <w:t>1</w:t>
    </w:r>
    <w:r w:rsidR="000E47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BFA" w:rsidRDefault="000C1BFA" w:rsidP="009F0C77">
      <w:r>
        <w:separator/>
      </w:r>
    </w:p>
  </w:footnote>
  <w:footnote w:type="continuationSeparator" w:id="0">
    <w:p w:rsidR="000C1BFA" w:rsidRDefault="000C1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61DG14"/>
    <w:docVar w:name="CoverBillType" w:val="b"/>
    <w:docVar w:name="docpath" w:val="L:\Council\bills\BH\26061DG14.DOCX"/>
    <w:docVar w:name="dvBillNumber" w:val="4599"/>
    <w:docVar w:name="dvBillNumberPrefix" w:val="H. "/>
    <w:docVar w:name="dvOriginalBody" w:val="House"/>
    <w:docVar w:name="dvSteno" w:val="BH"/>
    <w:docVar w:name="NameofBody" w:val="h"/>
    <w:docVar w:name="vgroup2" w:val="Council"/>
  </w:docVars>
  <w:rsids>
    <w:rsidRoot w:val="00573F27"/>
    <w:rsid w:val="00011869"/>
    <w:rsid w:val="00065C34"/>
    <w:rsid w:val="000C1BFA"/>
    <w:rsid w:val="000C5E59"/>
    <w:rsid w:val="000E1785"/>
    <w:rsid w:val="000E47E7"/>
    <w:rsid w:val="000F40FA"/>
    <w:rsid w:val="0010776B"/>
    <w:rsid w:val="00133E66"/>
    <w:rsid w:val="001341AF"/>
    <w:rsid w:val="001435A3"/>
    <w:rsid w:val="001D08F2"/>
    <w:rsid w:val="001D525B"/>
    <w:rsid w:val="001D733C"/>
    <w:rsid w:val="001D7F4F"/>
    <w:rsid w:val="002321B6"/>
    <w:rsid w:val="00250967"/>
    <w:rsid w:val="002543C8"/>
    <w:rsid w:val="00255DB0"/>
    <w:rsid w:val="00284AAE"/>
    <w:rsid w:val="002879FA"/>
    <w:rsid w:val="002E5912"/>
    <w:rsid w:val="00301B21"/>
    <w:rsid w:val="00325348"/>
    <w:rsid w:val="0032732C"/>
    <w:rsid w:val="00336AD0"/>
    <w:rsid w:val="0037079A"/>
    <w:rsid w:val="003D01E8"/>
    <w:rsid w:val="003E5288"/>
    <w:rsid w:val="003F6D79"/>
    <w:rsid w:val="00414E23"/>
    <w:rsid w:val="0041760A"/>
    <w:rsid w:val="00417C01"/>
    <w:rsid w:val="00460938"/>
    <w:rsid w:val="004809EE"/>
    <w:rsid w:val="004E1042"/>
    <w:rsid w:val="004E3018"/>
    <w:rsid w:val="004E7D54"/>
    <w:rsid w:val="005027E0"/>
    <w:rsid w:val="005273C6"/>
    <w:rsid w:val="00530A69"/>
    <w:rsid w:val="00545593"/>
    <w:rsid w:val="00573F27"/>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775FA"/>
    <w:rsid w:val="009B44AF"/>
    <w:rsid w:val="009C6A0B"/>
    <w:rsid w:val="009F0C77"/>
    <w:rsid w:val="009F4DD1"/>
    <w:rsid w:val="00A41684"/>
    <w:rsid w:val="00A64E80"/>
    <w:rsid w:val="00A72BCD"/>
    <w:rsid w:val="00A741D9"/>
    <w:rsid w:val="00A833AB"/>
    <w:rsid w:val="00A9741D"/>
    <w:rsid w:val="00AD4B17"/>
    <w:rsid w:val="00AE437E"/>
    <w:rsid w:val="00B057ED"/>
    <w:rsid w:val="00B412D4"/>
    <w:rsid w:val="00BE3C22"/>
    <w:rsid w:val="00C0345E"/>
    <w:rsid w:val="00C31FA3"/>
    <w:rsid w:val="00C3483A"/>
    <w:rsid w:val="00C74E9D"/>
    <w:rsid w:val="00C82FD3"/>
    <w:rsid w:val="00C92819"/>
    <w:rsid w:val="00CC6B7B"/>
    <w:rsid w:val="00CD2089"/>
    <w:rsid w:val="00D73A67"/>
    <w:rsid w:val="00D970A9"/>
    <w:rsid w:val="00DF3845"/>
    <w:rsid w:val="00E41911"/>
    <w:rsid w:val="00E92EEF"/>
    <w:rsid w:val="00F15557"/>
    <w:rsid w:val="00F24442"/>
    <w:rsid w:val="00F4141D"/>
    <w:rsid w:val="00F50AE3"/>
    <w:rsid w:val="00F67CF1"/>
    <w:rsid w:val="00F840F0"/>
    <w:rsid w:val="00FA5AB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F29A6F-320F-4719-ABD9-413CA782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7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3" Type="http://schemas.openxmlformats.org/officeDocument/2006/relationships/settings" Target="settings.xml"/><Relationship Id="rId7" Type="http://schemas.openxmlformats.org/officeDocument/2006/relationships/hyperlink" Target="file:///H:\HJ%20Archive\2014\02-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99_2014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94056-1E33-4644-A0BE-61BBF2E6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550</Words>
  <Characters>3136</Characters>
  <Application>Microsoft Office Word</Application>
  <DocSecurity>0</DocSecurity>
  <Lines>26</Lines>
  <Paragraphs>7</Paragraphs>
  <ScaleCrop>false</ScaleCrop>
  <Company>LPITS</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4599: Building Codes on farm structures - South Carolina Legislature Online</dc:title>
  <dc:creator>%USERNAME%</dc:creator>
  <cp:lastModifiedBy>N Cumfer</cp:lastModifiedBy>
  <cp:revision>6</cp:revision>
  <dcterms:created xsi:type="dcterms:W3CDTF">2014-02-05T15:24:00Z</dcterms:created>
  <dcterms:modified xsi:type="dcterms:W3CDTF">2014-12-05T16:58:00Z</dcterms:modified>
</cp:coreProperties>
</file>