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9F9" w:rsidRDefault="001B39F9" w:rsidP="002A3EB4">
      <w:pPr>
        <w:pStyle w:val="BillDots"/>
      </w:pPr>
      <w:r>
        <w:rPr>
          <w:strike/>
        </w:rPr>
        <w:t>Indicates Matter Stricken</w:t>
      </w:r>
    </w:p>
    <w:p w:rsidR="001B39F9" w:rsidRPr="001B39F9" w:rsidRDefault="001B39F9" w:rsidP="002A3EB4">
      <w:pPr>
        <w:pStyle w:val="BillDots"/>
      </w:pPr>
      <w:r>
        <w:rPr>
          <w:u w:val="single"/>
        </w:rPr>
        <w:t>Indicates New Matter</w:t>
      </w:r>
    </w:p>
    <w:p w:rsidR="001B39F9" w:rsidRDefault="001B39F9" w:rsidP="002A3EB4">
      <w:pPr>
        <w:pStyle w:val="BillDots"/>
      </w:pPr>
    </w:p>
    <w:p w:rsidR="001B39F9" w:rsidRDefault="00EB54F8" w:rsidP="002A3EB4">
      <w:pPr>
        <w:pStyle w:val="BillDots"/>
      </w:pPr>
      <w:r>
        <w:t>COMMITTEE AMENDMENT ADOPTED</w:t>
      </w:r>
    </w:p>
    <w:p w:rsidR="001B39F9" w:rsidRDefault="00EB54F8" w:rsidP="002A3EB4">
      <w:pPr>
        <w:pStyle w:val="BillDots"/>
      </w:pPr>
      <w:r>
        <w:t>April 16</w:t>
      </w:r>
      <w:r w:rsidR="001B39F9">
        <w:t>, 2014</w:t>
      </w:r>
    </w:p>
    <w:p w:rsidR="001B39F9" w:rsidRDefault="001B39F9" w:rsidP="002A3EB4">
      <w:pPr>
        <w:pStyle w:val="BillDots"/>
      </w:pPr>
    </w:p>
    <w:p w:rsidR="001B39F9" w:rsidRPr="001B39F9" w:rsidRDefault="001B39F9" w:rsidP="001B39F9">
      <w:pPr>
        <w:pStyle w:val="BillDots"/>
        <w:tabs>
          <w:tab w:val="clear" w:pos="216"/>
          <w:tab w:val="clear" w:pos="432"/>
          <w:tab w:val="clear" w:pos="648"/>
          <w:tab w:val="clear" w:pos="864"/>
          <w:tab w:val="clear" w:pos="1080"/>
          <w:tab w:val="clear" w:pos="1296"/>
          <w:tab w:val="clear" w:pos="5904"/>
          <w:tab w:val="right" w:pos="5933"/>
        </w:tabs>
      </w:pPr>
      <w:r>
        <w:tab/>
      </w:r>
      <w:r>
        <w:rPr>
          <w:b/>
          <w:sz w:val="36"/>
        </w:rPr>
        <w:t>S. 1086</w:t>
      </w:r>
    </w:p>
    <w:p w:rsidR="001B39F9" w:rsidRDefault="001B39F9" w:rsidP="002A3EB4">
      <w:pPr>
        <w:pStyle w:val="BillDots"/>
      </w:pPr>
    </w:p>
    <w:p w:rsidR="001B39F9" w:rsidRDefault="001B39F9" w:rsidP="001B39F9">
      <w:pPr>
        <w:pStyle w:val="BillDots"/>
        <w:jc w:val="center"/>
      </w:pPr>
      <w:r>
        <w:t xml:space="preserve">Introduced by </w:t>
      </w:r>
      <w:r w:rsidRPr="00C409B8">
        <w:t>Senators Hayes and L. Martin</w:t>
      </w:r>
    </w:p>
    <w:p w:rsidR="001B39F9" w:rsidRDefault="001B39F9" w:rsidP="002A3EB4">
      <w:pPr>
        <w:pStyle w:val="BillDots"/>
      </w:pPr>
    </w:p>
    <w:p w:rsidR="001B39F9" w:rsidRDefault="00EB54F8" w:rsidP="00815C81">
      <w:pPr>
        <w:pStyle w:val="BillDots"/>
        <w:tabs>
          <w:tab w:val="clear" w:pos="216"/>
          <w:tab w:val="clear" w:pos="432"/>
          <w:tab w:val="clear" w:pos="648"/>
          <w:tab w:val="clear" w:pos="864"/>
          <w:tab w:val="clear" w:pos="1080"/>
          <w:tab w:val="clear" w:pos="1296"/>
          <w:tab w:val="clear" w:pos="5904"/>
          <w:tab w:val="right" w:pos="5933"/>
        </w:tabs>
      </w:pPr>
      <w:r>
        <w:t>S. Printed 4/16</w:t>
      </w:r>
      <w:r w:rsidR="001B39F9">
        <w:t>/14--S.</w:t>
      </w:r>
      <w:r w:rsidR="00815C81">
        <w:tab/>
        <w:t>[SEC 4/17/14 3:43 PM]</w:t>
      </w:r>
    </w:p>
    <w:p w:rsidR="001B39F9" w:rsidRDefault="001B39F9" w:rsidP="002A3EB4">
      <w:pPr>
        <w:pStyle w:val="BillDots"/>
      </w:pPr>
      <w:r>
        <w:t>Read the first time March 6, 2014.</w:t>
      </w:r>
    </w:p>
    <w:p w:rsidR="001B39F9" w:rsidRPr="001B39F9" w:rsidRDefault="001B39F9" w:rsidP="001B39F9">
      <w:pPr>
        <w:pStyle w:val="BillDots"/>
        <w:jc w:val="center"/>
      </w:pPr>
      <w:r>
        <w:rPr>
          <w:u w:val="single"/>
        </w:rPr>
        <w:t>            </w:t>
      </w:r>
    </w:p>
    <w:p w:rsidR="001B39F9" w:rsidRDefault="001B39F9" w:rsidP="002A3EB4">
      <w:pPr>
        <w:pStyle w:val="BillDots"/>
      </w:pPr>
    </w:p>
    <w:p w:rsidR="001B39F9" w:rsidRDefault="001B39F9" w:rsidP="002A3EB4">
      <w:pPr>
        <w:pStyle w:val="BillDots"/>
      </w:pPr>
    </w:p>
    <w:p w:rsidR="001B39F9" w:rsidRDefault="001B39F9" w:rsidP="002A3EB4">
      <w:pPr>
        <w:pStyle w:val="BillDots"/>
        <w:sectPr w:rsidR="001B39F9" w:rsidSect="001B39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38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81" w:rsidRPr="00803D50" w:rsidRDefault="00791D81" w:rsidP="007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03D50">
        <w:rPr>
          <w:color w:val="000000" w:themeColor="text1"/>
          <w:u w:color="000000" w:themeColor="text1"/>
        </w:rPr>
        <w:t>TO AMEND SECTION 1</w:t>
      </w:r>
      <w:r w:rsidR="00D37A66">
        <w:rPr>
          <w:color w:val="000000" w:themeColor="text1"/>
          <w:u w:color="000000" w:themeColor="text1"/>
        </w:rPr>
        <w:noBreakHyphen/>
      </w:r>
      <w:r w:rsidRPr="00803D50">
        <w:rPr>
          <w:color w:val="000000" w:themeColor="text1"/>
          <w:u w:color="000000" w:themeColor="text1"/>
        </w:rPr>
        <w:t>11</w:t>
      </w:r>
      <w:r w:rsidR="00D37A66">
        <w:rPr>
          <w:color w:val="000000" w:themeColor="text1"/>
          <w:u w:color="000000" w:themeColor="text1"/>
        </w:rPr>
        <w:noBreakHyphen/>
      </w:r>
      <w:r w:rsidRPr="00803D50">
        <w:rPr>
          <w:color w:val="000000" w:themeColor="text1"/>
          <w:u w:color="000000" w:themeColor="text1"/>
        </w:rPr>
        <w:t>490, CODE OF LAWS OF SOUTH CAROLINA, 1976, RELATING TO PROVIDING NOTICE OF A BREACH OF SECURITY OF STATE AGENCY DATA, SO AS TO REQUIRE THAT THE NOTICE DESCRIBE THE BREACH AND PROVIDE CONTACT INFORMATION WHERE ASSISTANCE MAY BE OBTAINED, INCLUDING THE DEPARTMENT OF CONSUMER AFFAIRS</w:t>
      </w:r>
      <w:r w:rsidR="005742F2">
        <w:rPr>
          <w:color w:val="000000" w:themeColor="text1"/>
          <w:u w:color="000000" w:themeColor="text1"/>
        </w:rPr>
        <w:t>, AND TO DELETE A PROVISION ALLOWING AN AGENCY TO ADHERE TO ITS OWN POLICY</w:t>
      </w:r>
      <w:r w:rsidRPr="00803D50">
        <w:rPr>
          <w:color w:val="000000" w:themeColor="text1"/>
          <w:u w:color="000000" w:themeColor="text1"/>
        </w:rPr>
        <w:t>; AND TO AMEND SECTION 39</w:t>
      </w:r>
      <w:r w:rsidR="00D37A66">
        <w:rPr>
          <w:color w:val="000000" w:themeColor="text1"/>
          <w:u w:color="000000" w:themeColor="text1"/>
        </w:rPr>
        <w:noBreakHyphen/>
      </w:r>
      <w:r w:rsidRPr="00803D50">
        <w:rPr>
          <w:color w:val="000000" w:themeColor="text1"/>
          <w:u w:color="000000" w:themeColor="text1"/>
        </w:rPr>
        <w:t>1</w:t>
      </w:r>
      <w:r w:rsidR="00D37A66">
        <w:rPr>
          <w:color w:val="000000" w:themeColor="text1"/>
          <w:u w:color="000000" w:themeColor="text1"/>
        </w:rPr>
        <w:noBreakHyphen/>
      </w:r>
      <w:r w:rsidRPr="00803D50">
        <w:rPr>
          <w:color w:val="000000" w:themeColor="text1"/>
          <w:u w:color="000000" w:themeColor="text1"/>
        </w:rPr>
        <w:t xml:space="preserve">90, RELATING </w:t>
      </w:r>
      <w:r w:rsidR="005742F2">
        <w:rPr>
          <w:color w:val="000000" w:themeColor="text1"/>
          <w:u w:color="000000" w:themeColor="text1"/>
        </w:rPr>
        <w:t xml:space="preserve">TO </w:t>
      </w:r>
      <w:r w:rsidRPr="00803D50">
        <w:rPr>
          <w:color w:val="000000" w:themeColor="text1"/>
          <w:u w:color="000000" w:themeColor="text1"/>
        </w:rPr>
        <w:t>PROVIDING NOTICE OF A</w:t>
      </w:r>
      <w:r>
        <w:rPr>
          <w:color w:val="000000" w:themeColor="text1"/>
          <w:u w:color="000000" w:themeColor="text1"/>
        </w:rPr>
        <w:t xml:space="preserve"> </w:t>
      </w:r>
      <w:r w:rsidRPr="00803D50">
        <w:rPr>
          <w:color w:val="000000" w:themeColor="text1"/>
          <w:u w:color="000000" w:themeColor="text1"/>
        </w:rPr>
        <w:t>BREACH OF SECURITY OF BUSINESS DATA, SO AS TO PROVIDE THE SAME NOTICE REQUIREMENTS</w:t>
      </w:r>
      <w:r w:rsidR="005742F2">
        <w:rPr>
          <w:color w:val="000000" w:themeColor="text1"/>
          <w:u w:color="000000" w:themeColor="text1"/>
        </w:rPr>
        <w:t xml:space="preserve"> AND TO DELETE THE SAME PROVISION</w:t>
      </w:r>
      <w:r w:rsidRPr="00803D50">
        <w:rPr>
          <w:color w:val="000000" w:themeColor="text1"/>
          <w:u w:color="000000" w:themeColor="text1"/>
        </w:rPr>
        <w:t>.</w:t>
      </w:r>
    </w:p>
    <w:p w:rsidR="00EB54F8" w:rsidRDefault="00B669E8" w:rsidP="00B66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r>
        <w:rPr>
          <w:bCs/>
        </w:rPr>
        <w:t xml:space="preserve"> </w:t>
      </w:r>
      <w:bookmarkStart w:id="3" w:name="titleend"/>
      <w:bookmarkEnd w:id="3"/>
      <w:r w:rsidR="00EB54F8">
        <w:rPr>
          <w:bCs/>
        </w:rPr>
        <w:tab/>
        <w:t>Amend Title To Conform</w:t>
      </w:r>
    </w:p>
    <w:p w:rsidR="0051382B" w:rsidRDefault="0051382B" w:rsidP="00B66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Be it enacted by the General Assembly of the State of South Carolina: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4F8"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SECTION</w:t>
      </w:r>
      <w:r w:rsidRPr="007426BB">
        <w:rPr>
          <w:color w:val="000000" w:themeColor="text1"/>
          <w:u w:color="000000" w:themeColor="text1"/>
        </w:rPr>
        <w:tab/>
        <w:t>1.</w:t>
      </w:r>
      <w:r>
        <w:rPr>
          <w:color w:val="000000" w:themeColor="text1"/>
          <w:u w:color="000000" w:themeColor="text1"/>
        </w:rPr>
        <w:t xml:space="preserve"> Subsections (C) and </w:t>
      </w:r>
      <w:r w:rsidRPr="007426BB">
        <w:rPr>
          <w:color w:val="000000" w:themeColor="text1"/>
          <w:u w:color="000000" w:themeColor="text1"/>
        </w:rPr>
        <w:t xml:space="preserve">(E) through (I) </w:t>
      </w:r>
      <w:r>
        <w:rPr>
          <w:color w:val="000000" w:themeColor="text1"/>
          <w:u w:color="000000" w:themeColor="text1"/>
        </w:rPr>
        <w:t xml:space="preserve">in </w:t>
      </w:r>
      <w:r w:rsidRPr="007426BB">
        <w:rPr>
          <w:color w:val="000000" w:themeColor="text1"/>
          <w:u w:color="000000" w:themeColor="text1"/>
        </w:rPr>
        <w:t>Section 1</w:t>
      </w:r>
      <w:r w:rsidRPr="007426BB">
        <w:rPr>
          <w:color w:val="000000" w:themeColor="text1"/>
          <w:u w:color="000000" w:themeColor="text1"/>
        </w:rPr>
        <w:noBreakHyphen/>
        <w:t>11</w:t>
      </w:r>
      <w:r w:rsidRPr="007426BB">
        <w:rPr>
          <w:color w:val="000000" w:themeColor="text1"/>
          <w:u w:color="000000" w:themeColor="text1"/>
        </w:rPr>
        <w:noBreakHyphen/>
        <w:t>490</w:t>
      </w:r>
      <w:r>
        <w:rPr>
          <w:color w:val="000000" w:themeColor="text1"/>
          <w:u w:color="000000" w:themeColor="text1"/>
        </w:rPr>
        <w:t xml:space="preserve"> </w:t>
      </w:r>
      <w:r w:rsidRPr="007426BB">
        <w:rPr>
          <w:color w:val="000000" w:themeColor="text1"/>
          <w:u w:color="000000" w:themeColor="text1"/>
        </w:rPr>
        <w:t xml:space="preserve">of the 1976 Code, as added by Act 190 of 2008, </w:t>
      </w:r>
      <w:r>
        <w:rPr>
          <w:color w:val="000000" w:themeColor="text1"/>
          <w:u w:color="000000" w:themeColor="text1"/>
        </w:rPr>
        <w:t xml:space="preserve">are amended </w:t>
      </w:r>
      <w:r w:rsidRPr="007426BB">
        <w:rPr>
          <w:color w:val="000000" w:themeColor="text1"/>
          <w:u w:color="000000" w:themeColor="text1"/>
        </w:rPr>
        <w:t>to read:</w:t>
      </w:r>
    </w:p>
    <w:p w:rsidR="00EB54F8"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szCs w:val="24"/>
        </w:rPr>
      </w:pPr>
      <w:r>
        <w:rPr>
          <w:color w:val="000000" w:themeColor="text1"/>
          <w:u w:color="000000" w:themeColor="text1"/>
        </w:rPr>
        <w:tab/>
        <w:t>“</w:t>
      </w:r>
      <w:r>
        <w:rPr>
          <w:color w:val="000000"/>
          <w:szCs w:val="24"/>
        </w:rPr>
        <w:t>(C)</w:t>
      </w:r>
      <w:r>
        <w:rPr>
          <w:color w:val="000000"/>
          <w:szCs w:val="24"/>
        </w:rPr>
        <w:tab/>
      </w:r>
      <w:r w:rsidRPr="00265DEE">
        <w:rPr>
          <w:color w:val="000000"/>
          <w:szCs w:val="24"/>
        </w:rPr>
        <w:t xml:space="preserve">The notification required by this section may be delayed if a law enforcement agency determines that the notification impedes a criminal investigation. </w:t>
      </w:r>
      <w:r>
        <w:rPr>
          <w:color w:val="000000"/>
          <w:szCs w:val="24"/>
        </w:rPr>
        <w:t xml:space="preserve"> </w:t>
      </w:r>
      <w:r w:rsidRPr="00265DEE">
        <w:rPr>
          <w:color w:val="000000"/>
          <w:szCs w:val="24"/>
        </w:rPr>
        <w:t>The notification required by this section must be made after the law enforcement agency determines that it no longer compromises the investigation.</w:t>
      </w:r>
      <w:r>
        <w:rPr>
          <w:color w:val="000000"/>
          <w:szCs w:val="24"/>
        </w:rPr>
        <w:t xml:space="preserve"> </w:t>
      </w:r>
      <w:r w:rsidRPr="007426BB">
        <w:rPr>
          <w:u w:val="single"/>
        </w:rPr>
        <w:t>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EB54F8"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26BB">
        <w:rPr>
          <w:color w:val="000000" w:themeColor="text1"/>
          <w:u w:color="000000" w:themeColor="text1"/>
        </w:rPr>
        <w:t>(E)</w:t>
      </w:r>
      <w:r w:rsidRPr="007426BB">
        <w:rPr>
          <w:color w:val="000000" w:themeColor="text1"/>
          <w:u w:color="000000" w:themeColor="text1"/>
        </w:rPr>
        <w:tab/>
        <w:t xml:space="preserve">The notice required by this section </w:t>
      </w:r>
      <w:r w:rsidRPr="007426BB">
        <w:rPr>
          <w:strike/>
          <w:color w:val="000000" w:themeColor="text1"/>
          <w:u w:color="000000" w:themeColor="text1"/>
        </w:rPr>
        <w:t>may be provided by</w:t>
      </w:r>
      <w:r w:rsidRPr="007426BB">
        <w:rPr>
          <w:color w:val="000000" w:themeColor="text1"/>
          <w:u w:color="000000" w:themeColor="text1"/>
        </w:rPr>
        <w:t>:</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(1)</w:t>
      </w:r>
      <w:r w:rsidRPr="007426BB">
        <w:rPr>
          <w:color w:val="000000" w:themeColor="text1"/>
          <w:u w:color="000000" w:themeColor="text1"/>
        </w:rPr>
        <w:tab/>
      </w:r>
      <w:r w:rsidRPr="007426BB">
        <w:rPr>
          <w:color w:val="000000" w:themeColor="text1"/>
          <w:u w:val="single" w:color="000000" w:themeColor="text1"/>
        </w:rPr>
        <w:t xml:space="preserve">must be clear, conspicuous, and shall include all of the following: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(a)</w:t>
      </w:r>
      <w:r w:rsidRPr="007426BB">
        <w:rPr>
          <w:color w:val="000000" w:themeColor="text1"/>
          <w:u w:color="000000" w:themeColor="text1"/>
        </w:rPr>
        <w:tab/>
      </w:r>
      <w:r w:rsidRPr="007426BB">
        <w:rPr>
          <w:color w:val="000000" w:themeColor="text1"/>
          <w:u w:val="single" w:color="000000" w:themeColor="text1"/>
        </w:rPr>
        <w:t xml:space="preserve">a description of the incident in general terms;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(b)</w:t>
      </w:r>
      <w:r w:rsidRPr="007426BB">
        <w:rPr>
          <w:color w:val="000000" w:themeColor="text1"/>
          <w:u w:color="000000" w:themeColor="text1"/>
        </w:rPr>
        <w:tab/>
      </w:r>
      <w:r w:rsidRPr="007426BB">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(c)</w:t>
      </w:r>
      <w:r w:rsidRPr="007426BB">
        <w:rPr>
          <w:color w:val="000000" w:themeColor="text1"/>
          <w:u w:color="000000" w:themeColor="text1"/>
        </w:rPr>
        <w:tab/>
      </w:r>
      <w:r w:rsidRPr="007426BB">
        <w:rPr>
          <w:color w:val="000000" w:themeColor="text1"/>
          <w:u w:val="single" w:color="000000" w:themeColor="text1"/>
        </w:rPr>
        <w:t xml:space="preserve">a description of the general acts of the agency to protect the personal identifying information from further unauthorized access;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(d)</w:t>
      </w:r>
      <w:r w:rsidRPr="007426BB">
        <w:rPr>
          <w:color w:val="000000" w:themeColor="text1"/>
          <w:u w:color="000000" w:themeColor="text1"/>
        </w:rPr>
        <w:tab/>
      </w:r>
      <w:r w:rsidRPr="007426BB">
        <w:rPr>
          <w:color w:val="000000" w:themeColor="text1"/>
          <w:u w:val="single" w:color="000000" w:themeColor="text1"/>
        </w:rPr>
        <w:t xml:space="preserve">a telephone number for the agency that a person may call for further information and assistance;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(e)</w:t>
      </w:r>
      <w:r w:rsidRPr="007426BB">
        <w:rPr>
          <w:color w:val="000000" w:themeColor="text1"/>
          <w:u w:color="000000" w:themeColor="text1"/>
        </w:rPr>
        <w:tab/>
      </w:r>
      <w:r w:rsidRPr="007426BB">
        <w:rPr>
          <w:color w:val="000000" w:themeColor="text1"/>
          <w:u w:val="single" w:color="000000" w:themeColor="text1"/>
        </w:rPr>
        <w:t>the toll</w:t>
      </w:r>
      <w:r w:rsidRPr="007426BB">
        <w:rPr>
          <w:color w:val="000000" w:themeColor="text1"/>
          <w:u w:val="single" w:color="000000" w:themeColor="text1"/>
        </w:rPr>
        <w:noBreakHyphen/>
        <w:t>free telephone number, addresses, and website address for the South Carolina Department of Consumer Affairs, along with the following statement: ‘For information on avoiding and defending against identity theft, you may contact the South Carolina</w:t>
      </w:r>
      <w:r>
        <w:rPr>
          <w:color w:val="000000" w:themeColor="text1"/>
          <w:u w:val="single" w:color="000000" w:themeColor="text1"/>
        </w:rPr>
        <w:t xml:space="preserve"> Department of Consumer Affairs</w:t>
      </w:r>
      <w:r w:rsidRPr="007426BB">
        <w:rPr>
          <w:color w:val="000000" w:themeColor="text1"/>
          <w:u w:val="single" w:color="000000" w:themeColor="text1"/>
        </w:rPr>
        <w:t xml:space="preserve">’;  </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val="single" w:color="000000" w:themeColor="text1"/>
        </w:rPr>
        <w:t>(2)</w:t>
      </w:r>
      <w:r w:rsidRPr="007426BB">
        <w:rPr>
          <w:color w:val="000000" w:themeColor="text1"/>
          <w:u w:color="000000" w:themeColor="text1"/>
        </w:rPr>
        <w:tab/>
      </w:r>
      <w:r w:rsidRPr="007426BB">
        <w:rPr>
          <w:color w:val="000000" w:themeColor="text1"/>
          <w:u w:val="single" w:color="000000" w:themeColor="text1"/>
        </w:rPr>
        <w:t>may be provided by:</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(1)</w:t>
      </w:r>
      <w:r w:rsidRPr="00263B7C">
        <w:rPr>
          <w:color w:val="000000" w:themeColor="text1"/>
          <w:u w:val="single" w:color="000000" w:themeColor="text1"/>
        </w:rPr>
        <w:t>(</w:t>
      </w:r>
      <w:r w:rsidRPr="007426BB">
        <w:rPr>
          <w:color w:val="000000" w:themeColor="text1"/>
          <w:u w:val="single" w:color="000000" w:themeColor="text1"/>
        </w:rPr>
        <w:t>a</w:t>
      </w:r>
      <w:r w:rsidRPr="00263B7C">
        <w:rPr>
          <w:color w:val="000000" w:themeColor="text1"/>
          <w:u w:val="single" w:color="000000" w:themeColor="text1"/>
        </w:rPr>
        <w:t>)</w:t>
      </w:r>
      <w:r w:rsidRPr="007426BB">
        <w:rPr>
          <w:color w:val="000000" w:themeColor="text1"/>
          <w:u w:color="000000" w:themeColor="text1"/>
        </w:rPr>
        <w:tab/>
        <w:t>written notice;</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(2)</w:t>
      </w:r>
      <w:r w:rsidRPr="00263B7C">
        <w:rPr>
          <w:color w:val="000000" w:themeColor="text1"/>
          <w:u w:val="single" w:color="000000" w:themeColor="text1"/>
        </w:rPr>
        <w:t>(</w:t>
      </w:r>
      <w:r w:rsidRPr="007426BB">
        <w:rPr>
          <w:color w:val="000000" w:themeColor="text1"/>
          <w:u w:val="single" w:color="000000" w:themeColor="text1"/>
        </w:rPr>
        <w:t>b</w:t>
      </w:r>
      <w:r w:rsidRPr="00263B7C">
        <w:rPr>
          <w:color w:val="000000" w:themeColor="text1"/>
          <w:u w:val="single" w:color="000000" w:themeColor="text1"/>
        </w:rPr>
        <w:t>)</w:t>
      </w:r>
      <w:r w:rsidRPr="007426BB">
        <w:rPr>
          <w:color w:val="000000" w:themeColor="text1"/>
          <w:u w:color="000000" w:themeColor="text1"/>
        </w:rPr>
        <w:tab/>
        <w:t xml:space="preserve">electronic notice, if the person’s primary method of communication with the individual is by electronic means or is consistent with the provisions regarding electronic records and signatures set forth in </w:t>
      </w:r>
      <w:r w:rsidRPr="007426BB">
        <w:rPr>
          <w:strike/>
          <w:color w:val="000000" w:themeColor="text1"/>
          <w:u w:color="000000" w:themeColor="text1"/>
        </w:rPr>
        <w:t>Section 7001 of Title</w:t>
      </w:r>
      <w:r w:rsidRPr="007426BB">
        <w:rPr>
          <w:color w:val="000000" w:themeColor="text1"/>
          <w:u w:color="000000" w:themeColor="text1"/>
        </w:rPr>
        <w:t xml:space="preserve"> 15 </w:t>
      </w:r>
      <w:r w:rsidRPr="007426BB">
        <w:rPr>
          <w:strike/>
          <w:color w:val="000000" w:themeColor="text1"/>
          <w:u w:color="000000" w:themeColor="text1"/>
        </w:rPr>
        <w:t>USC</w:t>
      </w:r>
      <w:r w:rsidRPr="007426BB">
        <w:rPr>
          <w:color w:val="000000" w:themeColor="text1"/>
          <w:u w:color="000000" w:themeColor="text1"/>
        </w:rPr>
        <w:t xml:space="preserve"> </w:t>
      </w:r>
      <w:r w:rsidRPr="007426BB">
        <w:rPr>
          <w:color w:val="000000" w:themeColor="text1"/>
          <w:u w:val="single" w:color="000000" w:themeColor="text1"/>
        </w:rPr>
        <w:t>U.S.C. Section 7001</w:t>
      </w:r>
      <w:r w:rsidRPr="007426BB">
        <w:rPr>
          <w:color w:val="000000" w:themeColor="text1"/>
          <w:u w:color="000000" w:themeColor="text1"/>
        </w:rPr>
        <w:t xml:space="preserve"> and Chapter 6, Title 26 of the 1976 Code;</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(3)</w:t>
      </w:r>
      <w:r w:rsidRPr="00561420">
        <w:rPr>
          <w:color w:val="000000" w:themeColor="text1"/>
          <w:u w:val="single" w:color="000000" w:themeColor="text1"/>
        </w:rPr>
        <w:t>(c)</w:t>
      </w:r>
      <w:r w:rsidRPr="007426BB">
        <w:rPr>
          <w:color w:val="000000" w:themeColor="text1"/>
          <w:u w:color="000000" w:themeColor="text1"/>
        </w:rPr>
        <w:tab/>
        <w:t>telephonic notice; or</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(4)</w:t>
      </w:r>
      <w:r w:rsidRPr="00561420">
        <w:rPr>
          <w:color w:val="000000" w:themeColor="text1"/>
          <w:u w:val="single" w:color="000000" w:themeColor="text1"/>
        </w:rPr>
        <w:t>(d)</w:t>
      </w:r>
      <w:r w:rsidRPr="007426BB">
        <w:rPr>
          <w:color w:val="000000" w:themeColor="text1"/>
          <w:u w:color="000000" w:themeColor="text1"/>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(a)</w:t>
      </w:r>
      <w:r w:rsidRPr="00561420">
        <w:rPr>
          <w:color w:val="000000" w:themeColor="text1"/>
          <w:u w:val="single" w:color="000000" w:themeColor="text1"/>
        </w:rPr>
        <w:t>(i)</w:t>
      </w:r>
      <w:r w:rsidRPr="007426BB">
        <w:rPr>
          <w:color w:val="000000" w:themeColor="text1"/>
          <w:u w:color="000000" w:themeColor="text1"/>
        </w:rPr>
        <w:tab/>
      </w:r>
      <w:r w:rsidRPr="007426BB">
        <w:rPr>
          <w:strike/>
          <w:color w:val="000000" w:themeColor="text1"/>
          <w:u w:color="000000" w:themeColor="text1"/>
        </w:rPr>
        <w:t>e</w:t>
      </w:r>
      <w:r w:rsidRPr="007426BB">
        <w:rPr>
          <w:strike/>
          <w:color w:val="000000" w:themeColor="text1"/>
          <w:u w:color="000000" w:themeColor="text1"/>
        </w:rPr>
        <w:noBreakHyphen/>
        <w:t>mail</w:t>
      </w:r>
      <w:r w:rsidRPr="007426BB">
        <w:rPr>
          <w:color w:val="000000" w:themeColor="text1"/>
          <w:u w:color="000000" w:themeColor="text1"/>
        </w:rPr>
        <w:t xml:space="preserve"> </w:t>
      </w:r>
      <w:r w:rsidRPr="007426BB">
        <w:rPr>
          <w:color w:val="000000" w:themeColor="text1"/>
          <w:u w:val="single" w:color="000000" w:themeColor="text1"/>
        </w:rPr>
        <w:t>email</w:t>
      </w:r>
      <w:r w:rsidRPr="007426BB">
        <w:rPr>
          <w:color w:val="000000" w:themeColor="text1"/>
          <w:u w:color="000000" w:themeColor="text1"/>
        </w:rPr>
        <w:t xml:space="preserve"> notice when the agency has an </w:t>
      </w:r>
      <w:r w:rsidRPr="007426BB">
        <w:rPr>
          <w:strike/>
          <w:color w:val="000000" w:themeColor="text1"/>
          <w:u w:color="000000" w:themeColor="text1"/>
        </w:rPr>
        <w:t>e</w:t>
      </w:r>
      <w:r w:rsidRPr="007426BB">
        <w:rPr>
          <w:strike/>
          <w:color w:val="000000" w:themeColor="text1"/>
          <w:u w:color="000000" w:themeColor="text1"/>
        </w:rPr>
        <w:noBreakHyphen/>
        <w:t>mail</w:t>
      </w:r>
      <w:r w:rsidRPr="007426BB">
        <w:rPr>
          <w:color w:val="000000" w:themeColor="text1"/>
          <w:u w:color="000000" w:themeColor="text1"/>
        </w:rPr>
        <w:t xml:space="preserve"> </w:t>
      </w:r>
      <w:r w:rsidRPr="007426BB">
        <w:rPr>
          <w:color w:val="000000" w:themeColor="text1"/>
          <w:u w:val="single" w:color="000000" w:themeColor="text1"/>
        </w:rPr>
        <w:t>email</w:t>
      </w:r>
      <w:r w:rsidRPr="007426BB">
        <w:rPr>
          <w:color w:val="000000" w:themeColor="text1"/>
          <w:u w:color="000000" w:themeColor="text1"/>
        </w:rPr>
        <w:t xml:space="preserve"> address for the subject persons;</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(b)</w:t>
      </w:r>
      <w:r w:rsidRPr="00561420">
        <w:rPr>
          <w:color w:val="000000" w:themeColor="text1"/>
          <w:u w:val="single" w:color="000000" w:themeColor="text1"/>
        </w:rPr>
        <w:t>(ii)</w:t>
      </w:r>
      <w:r w:rsidRPr="007426BB">
        <w:rPr>
          <w:color w:val="000000" w:themeColor="text1"/>
          <w:u w:color="000000" w:themeColor="text1"/>
        </w:rPr>
        <w:tab/>
        <w:t xml:space="preserve">conspicuous posting of the notice on the agency’s </w:t>
      </w:r>
      <w:r w:rsidRPr="007426BB">
        <w:rPr>
          <w:strike/>
          <w:color w:val="000000" w:themeColor="text1"/>
          <w:u w:color="000000" w:themeColor="text1"/>
        </w:rPr>
        <w:t>web site</w:t>
      </w:r>
      <w:r w:rsidRPr="007426BB">
        <w:rPr>
          <w:color w:val="000000" w:themeColor="text1"/>
          <w:u w:color="000000" w:themeColor="text1"/>
        </w:rPr>
        <w:t xml:space="preserve"> </w:t>
      </w:r>
      <w:r w:rsidRPr="007426BB">
        <w:rPr>
          <w:color w:val="000000" w:themeColor="text1"/>
          <w:u w:val="single" w:color="000000" w:themeColor="text1"/>
        </w:rPr>
        <w:t>website</w:t>
      </w:r>
      <w:r w:rsidRPr="007426BB">
        <w:rPr>
          <w:color w:val="000000" w:themeColor="text1"/>
          <w:u w:color="000000" w:themeColor="text1"/>
        </w:rPr>
        <w:t xml:space="preserve"> page, if the agency maintains one; or</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7426BB">
        <w:rPr>
          <w:color w:val="000000" w:themeColor="text1"/>
          <w:u w:color="000000" w:themeColor="text1"/>
        </w:rPr>
        <w:tab/>
      </w:r>
      <w:r w:rsidRPr="00561420">
        <w:rPr>
          <w:strike/>
          <w:color w:val="000000" w:themeColor="text1"/>
          <w:u w:color="000000" w:themeColor="text1"/>
        </w:rPr>
        <w:t>(c)</w:t>
      </w:r>
      <w:r w:rsidRPr="00561420">
        <w:rPr>
          <w:color w:val="000000" w:themeColor="text1"/>
          <w:u w:val="single" w:color="000000" w:themeColor="text1"/>
        </w:rPr>
        <w:t>(iii)</w:t>
      </w:r>
      <w:r w:rsidRPr="007426BB">
        <w:rPr>
          <w:color w:val="000000" w:themeColor="text1"/>
          <w:u w:color="000000" w:themeColor="text1"/>
        </w:rPr>
        <w:tab/>
        <w:t>notification to major statewide media.</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426BB">
        <w:rPr>
          <w:color w:val="000000" w:themeColor="text1"/>
          <w:u w:color="000000" w:themeColor="text1"/>
        </w:rPr>
        <w:tab/>
      </w:r>
      <w:r w:rsidRPr="007426BB">
        <w:rPr>
          <w:strike/>
          <w:color w:val="000000" w:themeColor="text1"/>
          <w:u w:color="000000" w:themeColor="text1"/>
        </w:rPr>
        <w:t>(F)</w:t>
      </w:r>
      <w:r w:rsidRPr="007426BB">
        <w:rPr>
          <w:color w:val="000000" w:themeColor="text1"/>
          <w:u w:color="000000" w:themeColor="text1"/>
        </w:rPr>
        <w:tab/>
      </w:r>
      <w:r w:rsidRPr="007426BB">
        <w:rPr>
          <w:strike/>
          <w:color w:val="000000" w:themeColor="text1"/>
          <w:u w:color="000000" w:themeColor="text1"/>
        </w:rPr>
        <w:t>Notwithstanding subsection (E), an agency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it notifies subject persons in accordance with its policies in the event of a breach of security of the system.</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lastRenderedPageBreak/>
        <w:tab/>
      </w:r>
      <w:r w:rsidRPr="00561420">
        <w:rPr>
          <w:strike/>
          <w:color w:val="000000" w:themeColor="text1"/>
          <w:u w:color="000000" w:themeColor="text1"/>
        </w:rPr>
        <w:t>(G)</w:t>
      </w:r>
      <w:r w:rsidRPr="00561420">
        <w:rPr>
          <w:color w:val="000000" w:themeColor="text1"/>
          <w:u w:val="single" w:color="000000" w:themeColor="text1"/>
        </w:rPr>
        <w:t>(F)</w:t>
      </w:r>
      <w:r w:rsidRPr="007426BB">
        <w:rPr>
          <w:color w:val="000000" w:themeColor="text1"/>
          <w:u w:color="000000" w:themeColor="text1"/>
        </w:rPr>
        <w:tab/>
      </w:r>
      <w:r w:rsidRPr="007426BB">
        <w:rPr>
          <w:color w:val="000000" w:themeColor="text1"/>
          <w:u w:color="000000" w:themeColor="text1"/>
        </w:rPr>
        <w:tab/>
        <w:t>A resident of this State who is injured by a violation of this section, in addition to and cumulative of all other rights and remedies available at law, may:</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t>(1)</w:t>
      </w:r>
      <w:r w:rsidRPr="007426BB">
        <w:rPr>
          <w:color w:val="000000" w:themeColor="text1"/>
          <w:u w:color="000000" w:themeColor="text1"/>
        </w:rPr>
        <w:tab/>
        <w:t>institute a civil action to recover damages;</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t>(2)</w:t>
      </w:r>
      <w:r w:rsidRPr="007426BB">
        <w:rPr>
          <w:color w:val="000000" w:themeColor="text1"/>
          <w:u w:color="000000" w:themeColor="text1"/>
        </w:rPr>
        <w:tab/>
        <w:t>seek an injunction to enforce compliance;  and</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7426BB">
        <w:rPr>
          <w:color w:val="000000" w:themeColor="text1"/>
          <w:u w:color="000000" w:themeColor="text1"/>
        </w:rPr>
        <w:tab/>
        <w:t>(3)</w:t>
      </w:r>
      <w:r w:rsidRPr="007426BB">
        <w:rPr>
          <w:color w:val="000000" w:themeColor="text1"/>
          <w:u w:color="000000" w:themeColor="text1"/>
        </w:rPr>
        <w:tab/>
        <w:t>recover attorney’s fees and court costs, if successful.</w:t>
      </w:r>
    </w:p>
    <w:p w:rsidR="00EB54F8" w:rsidRPr="007426BB"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561420">
        <w:rPr>
          <w:strike/>
          <w:color w:val="000000" w:themeColor="text1"/>
          <w:u w:color="000000" w:themeColor="text1"/>
        </w:rPr>
        <w:t>(H)</w:t>
      </w:r>
      <w:r w:rsidRPr="00561420">
        <w:rPr>
          <w:color w:val="000000" w:themeColor="text1"/>
          <w:u w:val="single" w:color="000000" w:themeColor="text1"/>
        </w:rPr>
        <w:t>(G)</w:t>
      </w:r>
      <w:r w:rsidRPr="00561420">
        <w:rPr>
          <w:color w:val="000000" w:themeColor="text1"/>
          <w:u w:val="single" w:color="000000" w:themeColor="text1"/>
        </w:rPr>
        <w:tab/>
      </w:r>
      <w:r w:rsidRPr="007426BB">
        <w:rPr>
          <w:color w:val="000000" w:themeColor="text1"/>
          <w:u w:color="000000" w:themeColor="text1"/>
        </w:rPr>
        <w:t>An agency that knowingly and willfully violates this section is subject to an administrative fine up to one thousand dollars for each resident whose information was accessible by reason of the breach, the amount to be decided by the Department of Consumer Affairs.</w:t>
      </w:r>
    </w:p>
    <w:p w:rsidR="00165395" w:rsidRPr="00D14C6C" w:rsidRDefault="00EB54F8" w:rsidP="00EB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6BB">
        <w:rPr>
          <w:color w:val="000000" w:themeColor="text1"/>
          <w:u w:color="000000" w:themeColor="text1"/>
        </w:rPr>
        <w:tab/>
      </w:r>
      <w:r w:rsidRPr="00561420">
        <w:rPr>
          <w:strike/>
          <w:color w:val="000000" w:themeColor="text1"/>
          <w:u w:color="000000" w:themeColor="text1"/>
        </w:rPr>
        <w:t>(I)</w:t>
      </w:r>
      <w:r w:rsidRPr="00561420">
        <w:rPr>
          <w:color w:val="000000" w:themeColor="text1"/>
          <w:u w:val="single" w:color="000000" w:themeColor="text1"/>
        </w:rPr>
        <w:t>(H)</w:t>
      </w:r>
      <w:r w:rsidRPr="007426BB">
        <w:rPr>
          <w:color w:val="000000" w:themeColor="text1"/>
          <w:u w:color="000000" w:themeColor="text1"/>
        </w:rPr>
        <w:tab/>
        <w:t xml:space="preserve">If the agency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7426BB">
        <w:rPr>
          <w:strike/>
          <w:color w:val="000000" w:themeColor="text1"/>
          <w:u w:color="000000" w:themeColor="text1"/>
        </w:rPr>
        <w:t>USC</w:t>
      </w:r>
      <w:r w:rsidRPr="007426BB">
        <w:rPr>
          <w:color w:val="000000" w:themeColor="text1"/>
          <w:u w:color="000000" w:themeColor="text1"/>
        </w:rPr>
        <w:t xml:space="preserve"> </w:t>
      </w:r>
      <w:r w:rsidRPr="007426BB">
        <w:rPr>
          <w:color w:val="000000" w:themeColor="text1"/>
          <w:u w:val="single" w:color="000000" w:themeColor="text1"/>
        </w:rPr>
        <w:t>U.S.C.</w:t>
      </w:r>
      <w:r w:rsidRPr="007426BB">
        <w:rPr>
          <w:color w:val="000000" w:themeColor="text1"/>
          <w:u w:color="000000" w:themeColor="text1"/>
        </w:rPr>
        <w:t xml:space="preserve"> Section 1681a(p), of the timing, distribution, and content of the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SECTION</w:t>
      </w:r>
      <w:r w:rsidRPr="00D14C6C">
        <w:rPr>
          <w:color w:val="000000" w:themeColor="text1"/>
          <w:u w:color="000000" w:themeColor="text1"/>
        </w:rPr>
        <w:tab/>
        <w:t>2.</w:t>
      </w:r>
      <w:r w:rsidRPr="00D14C6C">
        <w:rPr>
          <w:color w:val="000000" w:themeColor="text1"/>
          <w:u w:color="000000" w:themeColor="text1"/>
        </w:rPr>
        <w:tab/>
        <w:t>Section 39</w:t>
      </w:r>
      <w:r w:rsidRPr="00D14C6C">
        <w:rPr>
          <w:color w:val="000000" w:themeColor="text1"/>
          <w:u w:color="000000" w:themeColor="text1"/>
        </w:rPr>
        <w:noBreakHyphen/>
        <w:t>1</w:t>
      </w:r>
      <w:r w:rsidRPr="00D14C6C">
        <w:rPr>
          <w:color w:val="000000" w:themeColor="text1"/>
          <w:u w:color="000000" w:themeColor="text1"/>
        </w:rPr>
        <w:noBreakHyphen/>
        <w:t xml:space="preserve">90(E) through (K) of the 1976 Code, as added by Act 190 of 2008, </w:t>
      </w:r>
      <w:r w:rsidR="00B41B1B">
        <w:rPr>
          <w:color w:val="000000" w:themeColor="text1"/>
          <w:u w:color="000000" w:themeColor="text1"/>
        </w:rPr>
        <w:t xml:space="preserve">is </w:t>
      </w:r>
      <w:r w:rsidRPr="00D14C6C">
        <w:rPr>
          <w:color w:val="000000" w:themeColor="text1"/>
          <w:u w:color="000000" w:themeColor="text1"/>
        </w:rPr>
        <w:t>amended to read: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“(E)</w:t>
      </w:r>
      <w:r w:rsidRPr="00D14C6C">
        <w:rPr>
          <w:color w:val="000000" w:themeColor="text1"/>
          <w:u w:color="000000" w:themeColor="text1"/>
        </w:rPr>
        <w:tab/>
        <w:t xml:space="preserve">The notice required by this section </w:t>
      </w:r>
      <w:r w:rsidRPr="00D14C6C">
        <w:rPr>
          <w:strike/>
          <w:color w:val="000000" w:themeColor="text1"/>
          <w:u w:color="000000" w:themeColor="text1"/>
        </w:rPr>
        <w:t>may be provided by</w:t>
      </w:r>
      <w:r w:rsidRPr="00D14C6C">
        <w:rPr>
          <w:color w:val="000000" w:themeColor="text1"/>
          <w:u w:color="000000" w:themeColor="text1"/>
        </w:rPr>
        <w: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(1)</w:t>
      </w:r>
      <w:r w:rsidRPr="00D14C6C">
        <w:rPr>
          <w:color w:val="000000" w:themeColor="text1"/>
          <w:u w:color="000000" w:themeColor="text1"/>
        </w:rPr>
        <w:tab/>
      </w:r>
      <w:r w:rsidRPr="00D14C6C">
        <w:rPr>
          <w:color w:val="000000" w:themeColor="text1"/>
          <w:u w:val="single" w:color="000000" w:themeColor="text1"/>
        </w:rPr>
        <w:t xml:space="preserve">must be clear, conspicuous, and shall include all of the following: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(a)</w:t>
      </w:r>
      <w:r w:rsidRPr="00D14C6C">
        <w:rPr>
          <w:color w:val="000000" w:themeColor="text1"/>
          <w:u w:color="000000" w:themeColor="text1"/>
        </w:rPr>
        <w:tab/>
      </w:r>
      <w:r w:rsidRPr="00D14C6C">
        <w:rPr>
          <w:color w:val="000000" w:themeColor="text1"/>
          <w:u w:val="single" w:color="000000" w:themeColor="text1"/>
        </w:rPr>
        <w:t xml:space="preserve">a description of the incident in general terms;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(b)</w:t>
      </w:r>
      <w:r w:rsidRPr="00D14C6C">
        <w:rPr>
          <w:color w:val="000000" w:themeColor="text1"/>
          <w:u w:color="000000" w:themeColor="text1"/>
        </w:rPr>
        <w:tab/>
      </w:r>
      <w:r w:rsidRPr="00D14C6C">
        <w:rPr>
          <w:color w:val="000000" w:themeColor="text1"/>
          <w:u w:val="single" w:color="000000" w:themeColor="text1"/>
        </w:rPr>
        <w:t xml:space="preserve">a description of the type of personal identifying information that was or is reasonably believed to have been subject to the unauthorized access and acquisition;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(c)</w:t>
      </w:r>
      <w:r w:rsidRPr="00D14C6C">
        <w:rPr>
          <w:color w:val="000000" w:themeColor="text1"/>
          <w:u w:color="000000" w:themeColor="text1"/>
        </w:rPr>
        <w:tab/>
      </w:r>
      <w:r w:rsidRPr="00D14C6C">
        <w:rPr>
          <w:color w:val="000000" w:themeColor="text1"/>
          <w:u w:val="single" w:color="000000" w:themeColor="text1"/>
        </w:rPr>
        <w:t xml:space="preserve">a description of the general acts of the business to protect the personal identifying information from further unauthorized access;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(d)</w:t>
      </w:r>
      <w:r w:rsidRPr="00D14C6C">
        <w:rPr>
          <w:color w:val="000000" w:themeColor="text1"/>
          <w:u w:color="000000" w:themeColor="text1"/>
        </w:rPr>
        <w:tab/>
      </w:r>
      <w:r w:rsidRPr="00D14C6C">
        <w:rPr>
          <w:color w:val="000000" w:themeColor="text1"/>
          <w:u w:val="single" w:color="000000" w:themeColor="text1"/>
        </w:rPr>
        <w:t xml:space="preserve">a telephone number for the business that a person may call for further information and assistance; </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(e)</w:t>
      </w:r>
      <w:r w:rsidRPr="00D14C6C">
        <w:rPr>
          <w:color w:val="000000" w:themeColor="text1"/>
          <w:u w:color="000000" w:themeColor="text1"/>
        </w:rPr>
        <w:tab/>
      </w:r>
      <w:r w:rsidRPr="00D14C6C">
        <w:rPr>
          <w:color w:val="000000" w:themeColor="text1"/>
          <w:u w:val="single" w:color="000000" w:themeColor="text1"/>
        </w:rPr>
        <w:t>the toll</w:t>
      </w:r>
      <w:r w:rsidRPr="00D14C6C">
        <w:rPr>
          <w:color w:val="000000" w:themeColor="text1"/>
          <w:u w:val="single" w:color="000000" w:themeColor="text1"/>
        </w:rPr>
        <w:noBreakHyphen/>
        <w:t>free telephone number, addresses, and website address for the South Carolina Department of Consumer Affairs, along with the following statement: ‘For information on avoiding and defending against identity theft, you may contact the South Carolina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val="single" w:color="000000" w:themeColor="text1"/>
        </w:rPr>
        <w:t>(2)</w:t>
      </w:r>
      <w:r w:rsidRPr="00D14C6C">
        <w:rPr>
          <w:color w:val="000000" w:themeColor="text1"/>
          <w:u w:color="000000" w:themeColor="text1"/>
        </w:rPr>
        <w:tab/>
      </w:r>
      <w:r w:rsidRPr="00D14C6C">
        <w:rPr>
          <w:color w:val="000000" w:themeColor="text1"/>
          <w:u w:val="single" w:color="000000" w:themeColor="text1"/>
        </w:rPr>
        <w:t>may be provided by: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1</w:t>
      </w:r>
      <w:r w:rsidRPr="00D14C6C">
        <w:rPr>
          <w:color w:val="000000" w:themeColor="text1"/>
          <w:u w:val="single" w:color="000000" w:themeColor="text1"/>
        </w:rPr>
        <w:t>a</w:t>
      </w:r>
      <w:r w:rsidRPr="00D14C6C">
        <w:rPr>
          <w:color w:val="000000" w:themeColor="text1"/>
          <w:u w:color="000000" w:themeColor="text1"/>
        </w:rPr>
        <w:t>)</w:t>
      </w:r>
      <w:r w:rsidRPr="00D14C6C">
        <w:rPr>
          <w:color w:val="000000" w:themeColor="text1"/>
          <w:u w:color="000000" w:themeColor="text1"/>
        </w:rPr>
        <w:tab/>
        <w:t>written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2</w:t>
      </w:r>
      <w:r w:rsidRPr="00D14C6C">
        <w:rPr>
          <w:color w:val="000000" w:themeColor="text1"/>
          <w:u w:val="single" w:color="000000" w:themeColor="text1"/>
        </w:rPr>
        <w:t>b</w:t>
      </w:r>
      <w:r w:rsidRPr="00D14C6C">
        <w:rPr>
          <w:color w:val="000000" w:themeColor="text1"/>
          <w:u w:color="000000" w:themeColor="text1"/>
        </w:rPr>
        <w:t>)</w:t>
      </w:r>
      <w:r w:rsidRPr="00D14C6C">
        <w:rPr>
          <w:color w:val="000000" w:themeColor="text1"/>
          <w:u w:color="000000" w:themeColor="text1"/>
        </w:rPr>
        <w:tab/>
        <w:t xml:space="preserve">electronic notice, if the person’s primary method of communication with the individual is by electronic means or is </w:t>
      </w:r>
      <w:r w:rsidRPr="00D14C6C">
        <w:rPr>
          <w:color w:val="000000" w:themeColor="text1"/>
          <w:u w:color="000000" w:themeColor="text1"/>
        </w:rPr>
        <w:lastRenderedPageBreak/>
        <w:t xml:space="preserve">consistent with the provisions regarding electronic records and signatures set forth in </w:t>
      </w:r>
      <w:r w:rsidRPr="00D14C6C">
        <w:rPr>
          <w:strike/>
          <w:color w:val="000000" w:themeColor="text1"/>
          <w:u w:color="000000" w:themeColor="text1"/>
        </w:rPr>
        <w:t>Section 7001 of Title</w:t>
      </w:r>
      <w:r w:rsidRPr="00D14C6C">
        <w:rPr>
          <w:color w:val="000000" w:themeColor="text1"/>
          <w:u w:color="000000" w:themeColor="text1"/>
        </w:rPr>
        <w:t xml:space="preserve">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 Section 7001</w:t>
      </w:r>
      <w:r w:rsidRPr="00D14C6C">
        <w:rPr>
          <w:color w:val="000000" w:themeColor="text1"/>
          <w:u w:color="000000" w:themeColor="text1"/>
        </w:rPr>
        <w:t xml:space="preserve"> and Chapter 6, Title 26 of the 1976 Code;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3</w:t>
      </w:r>
      <w:r w:rsidRPr="00D14C6C">
        <w:rPr>
          <w:color w:val="000000" w:themeColor="text1"/>
          <w:u w:val="single" w:color="000000" w:themeColor="text1"/>
        </w:rPr>
        <w:t>c</w:t>
      </w:r>
      <w:r w:rsidRPr="00D14C6C">
        <w:rPr>
          <w:color w:val="000000" w:themeColor="text1"/>
          <w:u w:color="000000" w:themeColor="text1"/>
        </w:rPr>
        <w:t>)</w:t>
      </w:r>
      <w:r w:rsidRPr="00D14C6C">
        <w:rPr>
          <w:color w:val="000000" w:themeColor="text1"/>
          <w:u w:color="000000" w:themeColor="text1"/>
        </w:rPr>
        <w:tab/>
        <w:t>telephonic notice;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4</w:t>
      </w:r>
      <w:r w:rsidRPr="00D14C6C">
        <w:rPr>
          <w:color w:val="000000" w:themeColor="text1"/>
          <w:u w:val="single" w:color="000000" w:themeColor="text1"/>
        </w:rPr>
        <w:t>d</w:t>
      </w:r>
      <w:r w:rsidRPr="00D14C6C">
        <w:rPr>
          <w:color w:val="000000" w:themeColor="text1"/>
          <w:u w:color="000000" w:themeColor="text1"/>
        </w:rPr>
        <w:t>)</w:t>
      </w:r>
      <w:r w:rsidRPr="00D14C6C">
        <w:rPr>
          <w:color w:val="000000" w:themeColor="text1"/>
          <w:u w:color="000000" w:themeColor="text1"/>
        </w:rPr>
        <w:tab/>
        <w:t>substitute notice, if the person demonstrates that the cost of providing notice exceeds two hundred fifty thousand dollars or that the affected class of subject persons to be notified exceeds five hundred thousand or the person has insufficient contact information. Substitute notice consists of:</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a</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notice when the person has an </w:t>
      </w:r>
      <w:r w:rsidRPr="00D14C6C">
        <w:rPr>
          <w:strike/>
          <w:color w:val="000000" w:themeColor="text1"/>
          <w:u w:color="000000" w:themeColor="text1"/>
        </w:rPr>
        <w:t>e</w:t>
      </w:r>
      <w:r w:rsidRPr="00D14C6C">
        <w:rPr>
          <w:strike/>
          <w:color w:val="000000" w:themeColor="text1"/>
          <w:u w:color="000000" w:themeColor="text1"/>
        </w:rPr>
        <w:noBreakHyphen/>
        <w:t>mail</w:t>
      </w:r>
      <w:r w:rsidRPr="00D14C6C">
        <w:rPr>
          <w:color w:val="000000" w:themeColor="text1"/>
          <w:u w:color="000000" w:themeColor="text1"/>
        </w:rPr>
        <w:t xml:space="preserve"> </w:t>
      </w:r>
      <w:r w:rsidRPr="00D14C6C">
        <w:rPr>
          <w:color w:val="000000" w:themeColor="text1"/>
          <w:u w:val="single" w:color="000000" w:themeColor="text1"/>
        </w:rPr>
        <w:t>email</w:t>
      </w:r>
      <w:r w:rsidRPr="00D14C6C">
        <w:rPr>
          <w:color w:val="000000" w:themeColor="text1"/>
          <w:u w:color="000000" w:themeColor="text1"/>
        </w:rPr>
        <w:t xml:space="preserve"> address for the subject persons;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b</w:t>
      </w:r>
      <w:r w:rsidRPr="00D14C6C">
        <w:rPr>
          <w:color w:val="000000" w:themeColor="text1"/>
          <w:u w:val="single" w:color="000000" w:themeColor="text1"/>
        </w:rPr>
        <w:t>ii</w:t>
      </w:r>
      <w:r w:rsidRPr="00D14C6C">
        <w:rPr>
          <w:color w:val="000000" w:themeColor="text1"/>
          <w:u w:color="000000" w:themeColor="text1"/>
        </w:rPr>
        <w:t>)</w:t>
      </w:r>
      <w:r w:rsidRPr="00D14C6C">
        <w:rPr>
          <w:color w:val="000000" w:themeColor="text1"/>
          <w:u w:color="000000" w:themeColor="text1"/>
        </w:rPr>
        <w:tab/>
        <w:t xml:space="preserve">conspicuous posting of the notice on the </w:t>
      </w:r>
      <w:r w:rsidRPr="00D14C6C">
        <w:rPr>
          <w:strike/>
          <w:color w:val="000000" w:themeColor="text1"/>
          <w:u w:color="000000" w:themeColor="text1"/>
        </w:rPr>
        <w:t>web site</w:t>
      </w:r>
      <w:r w:rsidRPr="00D14C6C">
        <w:rPr>
          <w:color w:val="000000" w:themeColor="text1"/>
          <w:u w:color="000000" w:themeColor="text1"/>
        </w:rPr>
        <w:t xml:space="preserve"> </w:t>
      </w:r>
      <w:r w:rsidRPr="00D14C6C">
        <w:rPr>
          <w:color w:val="000000" w:themeColor="text1"/>
          <w:u w:val="single" w:color="000000" w:themeColor="text1"/>
        </w:rPr>
        <w:t>website</w:t>
      </w:r>
      <w:r w:rsidRPr="00D14C6C">
        <w:rPr>
          <w:color w:val="000000" w:themeColor="text1"/>
          <w:u w:color="000000" w:themeColor="text1"/>
        </w:rPr>
        <w:t xml:space="preserve"> page of the person, if the person maintains one; or</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r>
      <w:r w:rsidRPr="00D14C6C">
        <w:rPr>
          <w:color w:val="000000" w:themeColor="text1"/>
          <w:u w:color="000000" w:themeColor="text1"/>
        </w:rPr>
        <w:tab/>
        <w:t>(</w:t>
      </w:r>
      <w:r w:rsidRPr="00D14C6C">
        <w:rPr>
          <w:strike/>
          <w:color w:val="000000" w:themeColor="text1"/>
          <w:u w:color="000000" w:themeColor="text1"/>
        </w:rPr>
        <w:t>c</w:t>
      </w:r>
      <w:r w:rsidRPr="00D14C6C">
        <w:rPr>
          <w:color w:val="000000" w:themeColor="text1"/>
          <w:u w:val="single" w:color="000000" w:themeColor="text1"/>
        </w:rPr>
        <w:t>iii</w:t>
      </w:r>
      <w:r w:rsidRPr="00D14C6C">
        <w:rPr>
          <w:color w:val="000000" w:themeColor="text1"/>
          <w:u w:color="000000" w:themeColor="text1"/>
        </w:rPr>
        <w:t>)</w:t>
      </w:r>
      <w:r w:rsidRPr="00D14C6C">
        <w:rPr>
          <w:color w:val="000000" w:themeColor="text1"/>
          <w:u w:color="000000" w:themeColor="text1"/>
        </w:rPr>
        <w:tab/>
        <w:t>notification to major statewide media.</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14C6C">
        <w:rPr>
          <w:color w:val="000000" w:themeColor="text1"/>
          <w:u w:color="000000" w:themeColor="text1"/>
        </w:rPr>
        <w:tab/>
      </w:r>
      <w:r w:rsidRPr="00D14C6C">
        <w:rPr>
          <w:strike/>
          <w:color w:val="000000" w:themeColor="text1"/>
          <w:u w:color="000000" w:themeColor="text1"/>
        </w:rPr>
        <w:t>(F)</w:t>
      </w:r>
      <w:r w:rsidRPr="00D14C6C">
        <w:rPr>
          <w:color w:val="000000" w:themeColor="text1"/>
          <w:u w:color="000000" w:themeColor="text1"/>
        </w:rPr>
        <w:tab/>
      </w:r>
      <w:r w:rsidRPr="00D14C6C">
        <w:rPr>
          <w:strike/>
          <w:color w:val="000000" w:themeColor="text1"/>
          <w:u w:color="000000" w:themeColor="text1"/>
        </w:rPr>
        <w:t>Notwithstanding subsection (E), a person that maintains its own notification procedures as part of an information security policy for the treatment of personal identifying information and is otherwise consistent with the timing requirements of this section is considered to be in compliance with the notification requirements of this section if the person notifies subject persons in accordance with its policies in the event of a breach of security of the system.</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G</w:t>
      </w:r>
      <w:r w:rsidRPr="00D14C6C">
        <w:rPr>
          <w:color w:val="000000" w:themeColor="text1"/>
          <w:u w:val="single" w:color="000000" w:themeColor="text1"/>
        </w:rPr>
        <w:t>F</w:t>
      </w:r>
      <w:r>
        <w:rPr>
          <w:color w:val="000000" w:themeColor="text1"/>
          <w:u w:color="000000" w:themeColor="text1"/>
        </w:rPr>
        <w:t>)</w:t>
      </w:r>
      <w:r>
        <w:rPr>
          <w:color w:val="000000" w:themeColor="text1"/>
          <w:u w:color="000000" w:themeColor="text1"/>
        </w:rPr>
        <w:tab/>
      </w:r>
      <w:r w:rsidRPr="00D14C6C">
        <w:rPr>
          <w:color w:val="000000" w:themeColor="text1"/>
          <w:u w:color="000000" w:themeColor="text1"/>
        </w:rPr>
        <w:t>A resident of this State who is injured by a violation of this section, in addition to and cumulative of all other rights and remedies available at law, may:</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(1)</w:t>
      </w:r>
      <w:r w:rsidRPr="00D14C6C">
        <w:rPr>
          <w:color w:val="000000" w:themeColor="text1"/>
          <w:u w:color="000000" w:themeColor="text1"/>
        </w:rPr>
        <w:tab/>
        <w:t xml:space="preserve">institute a civil action to recover damages in case of a </w:t>
      </w:r>
      <w:r w:rsidR="00EB54F8" w:rsidRPr="00D14C6C">
        <w:rPr>
          <w:color w:val="000000" w:themeColor="text1"/>
          <w:u w:color="000000" w:themeColor="text1"/>
        </w:rPr>
        <w:t>willful</w:t>
      </w:r>
      <w:r w:rsidRPr="00D14C6C">
        <w:rPr>
          <w:color w:val="000000" w:themeColor="text1"/>
          <w:u w:color="000000" w:themeColor="text1"/>
        </w:rPr>
        <w:t xml:space="preserve"> and knowing violation;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(2)</w:t>
      </w:r>
      <w:r w:rsidRPr="00D14C6C">
        <w:rPr>
          <w:color w:val="000000" w:themeColor="text1"/>
          <w:u w:color="000000" w:themeColor="text1"/>
        </w:rPr>
        <w:tab/>
        <w:t>institute a civil action that must be limited to actual damages resulting from a violation in case of a negligent violation of this section;</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(3)</w:t>
      </w:r>
      <w:r w:rsidRPr="00D14C6C">
        <w:rPr>
          <w:color w:val="000000" w:themeColor="text1"/>
          <w:u w:color="000000" w:themeColor="text1"/>
        </w:rPr>
        <w:tab/>
        <w:t>seek an injunction to enforce compliance; and</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r>
      <w:r w:rsidRPr="00D14C6C">
        <w:rPr>
          <w:color w:val="000000" w:themeColor="text1"/>
          <w:u w:color="000000" w:themeColor="text1"/>
        </w:rPr>
        <w:tab/>
        <w:t>(4)</w:t>
      </w:r>
      <w:r w:rsidRPr="00D14C6C">
        <w:rPr>
          <w:color w:val="000000" w:themeColor="text1"/>
          <w:u w:color="000000" w:themeColor="text1"/>
        </w:rPr>
        <w:tab/>
        <w:t>recover attorney’s fees and court costs, if successful.</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H</w:t>
      </w:r>
      <w:r w:rsidRPr="00D14C6C">
        <w:rPr>
          <w:color w:val="000000" w:themeColor="text1"/>
          <w:u w:val="single" w:color="000000" w:themeColor="text1"/>
        </w:rPr>
        <w:t>G</w:t>
      </w:r>
      <w:r w:rsidRPr="00D14C6C">
        <w:rPr>
          <w:color w:val="000000" w:themeColor="text1"/>
          <w:u w:color="000000" w:themeColor="text1"/>
        </w:rPr>
        <w:t>)</w:t>
      </w:r>
      <w:r w:rsidRPr="00D14C6C">
        <w:rPr>
          <w:color w:val="000000" w:themeColor="text1"/>
          <w:u w:color="000000" w:themeColor="text1"/>
        </w:rPr>
        <w:tab/>
        <w:t xml:space="preserve">A person who knowingly and </w:t>
      </w:r>
      <w:r w:rsidR="00EB54F8" w:rsidRPr="00D14C6C">
        <w:rPr>
          <w:color w:val="000000" w:themeColor="text1"/>
          <w:u w:color="000000" w:themeColor="text1"/>
        </w:rPr>
        <w:t>willfully</w:t>
      </w:r>
      <w:r w:rsidRPr="00D14C6C">
        <w:rPr>
          <w:color w:val="000000" w:themeColor="text1"/>
          <w:u w:color="000000" w:themeColor="text1"/>
        </w:rPr>
        <w:t xml:space="preserve"> violates this section is subject to an administrative fine in the amount of one thousand dollars for each resident whose information was accessible by reason of the breach, the amount to be decided by the Department of Consumer Affairs.</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I</w:t>
      </w:r>
      <w:r w:rsidRPr="00D14C6C">
        <w:rPr>
          <w:color w:val="000000" w:themeColor="text1"/>
          <w:u w:val="single" w:color="000000" w:themeColor="text1"/>
        </w:rPr>
        <w:t>H</w:t>
      </w:r>
      <w:r w:rsidRPr="00D14C6C">
        <w:rPr>
          <w:color w:val="000000" w:themeColor="text1"/>
          <w:u w:color="000000" w:themeColor="text1"/>
        </w:rPr>
        <w:t>)</w:t>
      </w:r>
      <w:r w:rsidRPr="00D14C6C">
        <w:rPr>
          <w:color w:val="000000" w:themeColor="text1"/>
          <w:u w:color="000000" w:themeColor="text1"/>
        </w:rPr>
        <w:tab/>
        <w:t>This section does not apply to a bank or financial institution that is subject to and in compliance with the privacy and security provision of the Gramm</w:t>
      </w:r>
      <w:r w:rsidRPr="00D14C6C">
        <w:rPr>
          <w:color w:val="000000" w:themeColor="text1"/>
          <w:u w:color="000000" w:themeColor="text1"/>
        </w:rPr>
        <w:noBreakHyphen/>
        <w:t>Leach</w:t>
      </w:r>
      <w:r w:rsidRPr="00D14C6C">
        <w:rPr>
          <w:color w:val="000000" w:themeColor="text1"/>
          <w:u w:color="000000" w:themeColor="text1"/>
        </w:rPr>
        <w:noBreakHyphen/>
        <w:t>Bliley Act.</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J</w:t>
      </w:r>
      <w:r w:rsidRPr="00D14C6C">
        <w:rPr>
          <w:color w:val="000000" w:themeColor="text1"/>
          <w:u w:val="single" w:color="000000" w:themeColor="text1"/>
        </w:rPr>
        <w:t>I</w:t>
      </w:r>
      <w:r w:rsidRPr="00D14C6C">
        <w:rPr>
          <w:color w:val="000000" w:themeColor="text1"/>
          <w:u w:color="000000" w:themeColor="text1"/>
        </w:rPr>
        <w:t>)</w:t>
      </w:r>
      <w:r w:rsidRPr="00D14C6C">
        <w:rPr>
          <w:color w:val="000000" w:themeColor="text1"/>
          <w:u w:color="000000" w:themeColor="text1"/>
        </w:rPr>
        <w:tab/>
        <w:t xml:space="preserve">A financial institution that is subject to and in compliance with the federal Interagency Guidance Response Programs for Unauthorized Access to Consumer Information and Customer Notice, issued March 7, 2005, by the Board of Governors of the </w:t>
      </w:r>
      <w:r w:rsidRPr="00D14C6C">
        <w:rPr>
          <w:color w:val="000000" w:themeColor="text1"/>
          <w:u w:color="000000" w:themeColor="text1"/>
        </w:rPr>
        <w:lastRenderedPageBreak/>
        <w:t>Federal Reserve System, the Federal Deposit Insurance Corporation, the Office of the Comptroller of the Currency, and the Office of Thrift Supervision, as amended, is considered to be in compliance with this section.</w:t>
      </w:r>
    </w:p>
    <w:p w:rsidR="00165395"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C6C">
        <w:rPr>
          <w:color w:val="000000" w:themeColor="text1"/>
          <w:u w:color="000000" w:themeColor="text1"/>
        </w:rPr>
        <w:tab/>
        <w:t>(</w:t>
      </w:r>
      <w:r w:rsidRPr="00D14C6C">
        <w:rPr>
          <w:strike/>
          <w:color w:val="000000" w:themeColor="text1"/>
          <w:u w:color="000000" w:themeColor="text1"/>
        </w:rPr>
        <w:t>K</w:t>
      </w:r>
      <w:r w:rsidRPr="00D14C6C">
        <w:rPr>
          <w:color w:val="000000" w:themeColor="text1"/>
          <w:u w:val="single" w:color="000000" w:themeColor="text1"/>
        </w:rPr>
        <w:t>J</w:t>
      </w:r>
      <w:r w:rsidRPr="00D14C6C">
        <w:rPr>
          <w:color w:val="000000" w:themeColor="text1"/>
          <w:u w:color="000000" w:themeColor="text1"/>
        </w:rPr>
        <w:t>)</w:t>
      </w:r>
      <w:r w:rsidRPr="00D14C6C">
        <w:rPr>
          <w:color w:val="000000" w:themeColor="text1"/>
          <w:u w:color="000000" w:themeColor="text1"/>
        </w:rPr>
        <w:tab/>
        <w:t xml:space="preserve">If a business provides notice to more than one thousand persons at one time pursuant to this section, the business shall notify, without unreasonable delay, the Consumer Protection Division of the Department of Consumer Affairs and all consumer reporting agencies that compile and maintain files on a nationwide basis, as defined in 15 </w:t>
      </w:r>
      <w:r w:rsidRPr="00D14C6C">
        <w:rPr>
          <w:strike/>
          <w:color w:val="000000" w:themeColor="text1"/>
          <w:u w:color="000000" w:themeColor="text1"/>
        </w:rPr>
        <w:t>USC</w:t>
      </w:r>
      <w:r w:rsidRPr="00D14C6C">
        <w:rPr>
          <w:color w:val="000000" w:themeColor="text1"/>
          <w:u w:color="000000" w:themeColor="text1"/>
        </w:rPr>
        <w:t xml:space="preserve"> </w:t>
      </w:r>
      <w:r w:rsidRPr="00D14C6C">
        <w:rPr>
          <w:color w:val="000000" w:themeColor="text1"/>
          <w:u w:val="single" w:color="000000" w:themeColor="text1"/>
        </w:rPr>
        <w:t>U.S.C.</w:t>
      </w:r>
      <w:r w:rsidRPr="00D14C6C">
        <w:rPr>
          <w:color w:val="000000" w:themeColor="text1"/>
          <w:u w:color="000000" w:themeColor="text1"/>
        </w:rPr>
        <w:t xml:space="preserve"> Section 1681a(p), of the timing, distribution, and content of the notice.”</w:t>
      </w:r>
    </w:p>
    <w:p w:rsidR="00165395" w:rsidRPr="00D14C6C" w:rsidRDefault="00165395" w:rsidP="0016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42F94" w:rsidRDefault="0051543C" w:rsidP="0014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5A14">
        <w:rPr>
          <w:color w:val="000000" w:themeColor="text1"/>
          <w:u w:color="000000" w:themeColor="text1"/>
        </w:rPr>
        <w:t>SECTION</w:t>
      </w:r>
      <w:r w:rsidRPr="00AC5A14">
        <w:rPr>
          <w:color w:val="000000" w:themeColor="text1"/>
          <w:u w:color="000000" w:themeColor="text1"/>
        </w:rPr>
        <w:tab/>
        <w:t>3.</w:t>
      </w:r>
      <w:r w:rsidRPr="00AC5A14">
        <w:rPr>
          <w:color w:val="000000" w:themeColor="text1"/>
          <w:u w:color="000000" w:themeColor="text1"/>
        </w:rPr>
        <w:tab/>
        <w:t>This act takes effect upon approval of the Governor.</w:t>
      </w:r>
    </w:p>
    <w:p w:rsidR="00730802" w:rsidRDefault="00D37A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02" w:rsidRDefault="00730802" w:rsidP="00D72D6E">
      <w:pPr>
        <w:suppressAutoHyphens/>
      </w:pPr>
    </w:p>
    <w:sectPr w:rsidR="00730802" w:rsidSect="001B39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2B" w:rsidRDefault="0051382B" w:rsidP="009F0C77">
      <w:r>
        <w:separator/>
      </w:r>
    </w:p>
  </w:endnote>
  <w:endnote w:type="continuationSeparator" w:id="0">
    <w:p w:rsidR="0051382B" w:rsidRDefault="005138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4205D8-0482-4D64-A8E5-8F183449FAC0}"/>
    <w:embedBold r:id="rId2" w:fontKey="{A3E5A13E-AEAA-4784-895A-F033496F3629}"/>
    <w:embedItalic r:id="rId3" w:fontKey="{66E9D618-5949-4456-84AF-731AF39134CE}"/>
  </w:font>
  <w:font w:name="Calibri">
    <w:panose1 w:val="020F0502020204030204"/>
    <w:charset w:val="00"/>
    <w:family w:val="swiss"/>
    <w:pitch w:val="variable"/>
    <w:sig w:usb0="E10002FF" w:usb1="4000ACFF" w:usb2="00000009" w:usb3="00000000" w:csb0="0000019F" w:csb1="00000000"/>
    <w:embedRegular r:id="rId4" w:fontKey="{15232FDA-6423-4517-AAB9-E27D1EF020FB}"/>
  </w:font>
  <w:font w:name="Cambria">
    <w:panose1 w:val="02040503050406030204"/>
    <w:charset w:val="00"/>
    <w:family w:val="roman"/>
    <w:pitch w:val="variable"/>
    <w:sig w:usb0="E00002FF" w:usb1="400004FF" w:usb2="00000000" w:usb3="00000000" w:csb0="0000019F" w:csb1="00000000"/>
    <w:embedRegular r:id="rId5" w:fontKey="{05C96F89-238D-46D5-90E2-A9427BC8FF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58" w:rsidRPr="00730802" w:rsidRDefault="00730802" w:rsidP="00730802">
    <w:pPr>
      <w:pStyle w:val="Footer"/>
      <w:tabs>
        <w:tab w:val="clear" w:pos="4680"/>
        <w:tab w:val="clear" w:pos="9360"/>
        <w:tab w:val="center" w:pos="2995"/>
      </w:tabs>
      <w:spacing w:before="120"/>
    </w:pPr>
    <w:r>
      <w:t>[1086</w:t>
    </w:r>
    <w:r w:rsidR="001B39F9">
      <w:t>-</w:t>
    </w:r>
    <w:fldSimple w:instr=" PAGE  \* MERGEFORMAT ">
      <w:r w:rsidR="00D72D6E">
        <w:rPr>
          <w:noProof/>
        </w:rPr>
        <w:t>1</w:t>
      </w:r>
    </w:fldSimple>
    <w:r w:rsidR="001B39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9" w:rsidRPr="00730802" w:rsidRDefault="001B39F9" w:rsidP="00730802">
    <w:pPr>
      <w:pStyle w:val="Footer"/>
      <w:tabs>
        <w:tab w:val="clear" w:pos="4680"/>
        <w:tab w:val="clear" w:pos="9360"/>
        <w:tab w:val="center" w:pos="2995"/>
      </w:tabs>
      <w:spacing w:before="120"/>
    </w:pPr>
    <w:r>
      <w:t>[1086]</w:t>
    </w:r>
    <w:r>
      <w:tab/>
    </w:r>
    <w:fldSimple w:instr=" PAGE  \* MERGEFORMAT ">
      <w:r w:rsidR="00D72D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2B" w:rsidRDefault="0051382B" w:rsidP="009F0C77">
      <w:r>
        <w:separator/>
      </w:r>
    </w:p>
  </w:footnote>
  <w:footnote w:type="continuationSeparator" w:id="0">
    <w:p w:rsidR="0051382B" w:rsidRDefault="005138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98DG14"/>
    <w:docVar w:name="CoverBillType" w:val="b"/>
    <w:docVar w:name="docpath" w:val="L:\Council\bills\BH\26098DG14.DOCX"/>
    <w:docVar w:name="dvBillNumber" w:val="1086"/>
    <w:docVar w:name="dvBillNumberPrefix" w:val="S. "/>
    <w:docVar w:name="dvOriginalBody" w:val="Senate"/>
    <w:docVar w:name="dvSteno" w:val="BH"/>
    <w:docVar w:name="NameofBody" w:val="s"/>
    <w:docVar w:name="vgroup2" w:val="Council"/>
  </w:docVars>
  <w:rsids>
    <w:rsidRoot w:val="00B42580"/>
    <w:rsid w:val="00023BE8"/>
    <w:rsid w:val="00026C9A"/>
    <w:rsid w:val="000335C6"/>
    <w:rsid w:val="0009097F"/>
    <w:rsid w:val="000965A1"/>
    <w:rsid w:val="000B2097"/>
    <w:rsid w:val="000E024D"/>
    <w:rsid w:val="000E1785"/>
    <w:rsid w:val="000F39F2"/>
    <w:rsid w:val="001023A4"/>
    <w:rsid w:val="00106ACF"/>
    <w:rsid w:val="0010776B"/>
    <w:rsid w:val="001326D0"/>
    <w:rsid w:val="00133E66"/>
    <w:rsid w:val="00134ACF"/>
    <w:rsid w:val="001420DB"/>
    <w:rsid w:val="00144E15"/>
    <w:rsid w:val="00165395"/>
    <w:rsid w:val="00166946"/>
    <w:rsid w:val="001A4A62"/>
    <w:rsid w:val="001A681E"/>
    <w:rsid w:val="001B39F9"/>
    <w:rsid w:val="001D08F2"/>
    <w:rsid w:val="001E28E6"/>
    <w:rsid w:val="001F0F31"/>
    <w:rsid w:val="002037CA"/>
    <w:rsid w:val="002047A2"/>
    <w:rsid w:val="002321B6"/>
    <w:rsid w:val="00232CBA"/>
    <w:rsid w:val="0023696B"/>
    <w:rsid w:val="00250967"/>
    <w:rsid w:val="00263B7C"/>
    <w:rsid w:val="002759C5"/>
    <w:rsid w:val="00277DEE"/>
    <w:rsid w:val="00280D88"/>
    <w:rsid w:val="00294ABE"/>
    <w:rsid w:val="002A3EB4"/>
    <w:rsid w:val="002A5745"/>
    <w:rsid w:val="002B3B97"/>
    <w:rsid w:val="002C0E06"/>
    <w:rsid w:val="00325348"/>
    <w:rsid w:val="00377300"/>
    <w:rsid w:val="00393688"/>
    <w:rsid w:val="003B65F2"/>
    <w:rsid w:val="003D411E"/>
    <w:rsid w:val="003E3C1E"/>
    <w:rsid w:val="003E6148"/>
    <w:rsid w:val="00400EAA"/>
    <w:rsid w:val="0041760A"/>
    <w:rsid w:val="0042603F"/>
    <w:rsid w:val="0046316B"/>
    <w:rsid w:val="00463F84"/>
    <w:rsid w:val="00472A0B"/>
    <w:rsid w:val="004804AE"/>
    <w:rsid w:val="004809EE"/>
    <w:rsid w:val="004945A4"/>
    <w:rsid w:val="00497610"/>
    <w:rsid w:val="00511EE9"/>
    <w:rsid w:val="0051382B"/>
    <w:rsid w:val="0051543C"/>
    <w:rsid w:val="00521E00"/>
    <w:rsid w:val="00552602"/>
    <w:rsid w:val="005742F2"/>
    <w:rsid w:val="00577C6C"/>
    <w:rsid w:val="0058501B"/>
    <w:rsid w:val="0062136E"/>
    <w:rsid w:val="006215AA"/>
    <w:rsid w:val="006340D9"/>
    <w:rsid w:val="00642D92"/>
    <w:rsid w:val="00643B8E"/>
    <w:rsid w:val="00665EBC"/>
    <w:rsid w:val="00667A13"/>
    <w:rsid w:val="00693D9D"/>
    <w:rsid w:val="0069470D"/>
    <w:rsid w:val="006A16A4"/>
    <w:rsid w:val="006A476C"/>
    <w:rsid w:val="006C6A93"/>
    <w:rsid w:val="006E02F9"/>
    <w:rsid w:val="006E5CA9"/>
    <w:rsid w:val="00730802"/>
    <w:rsid w:val="00753C04"/>
    <w:rsid w:val="00756946"/>
    <w:rsid w:val="00757F80"/>
    <w:rsid w:val="00771EEC"/>
    <w:rsid w:val="00786819"/>
    <w:rsid w:val="00791D81"/>
    <w:rsid w:val="007A325A"/>
    <w:rsid w:val="007D65F5"/>
    <w:rsid w:val="007F1523"/>
    <w:rsid w:val="007F509E"/>
    <w:rsid w:val="007F5799"/>
    <w:rsid w:val="007F6947"/>
    <w:rsid w:val="00800E83"/>
    <w:rsid w:val="00807796"/>
    <w:rsid w:val="00815C81"/>
    <w:rsid w:val="0084027E"/>
    <w:rsid w:val="00872729"/>
    <w:rsid w:val="008F4429"/>
    <w:rsid w:val="00932670"/>
    <w:rsid w:val="009352BB"/>
    <w:rsid w:val="00990668"/>
    <w:rsid w:val="009C004D"/>
    <w:rsid w:val="009F0C77"/>
    <w:rsid w:val="009F4DD1"/>
    <w:rsid w:val="00A04A58"/>
    <w:rsid w:val="00A64E80"/>
    <w:rsid w:val="00A741D9"/>
    <w:rsid w:val="00A9741D"/>
    <w:rsid w:val="00AD1151"/>
    <w:rsid w:val="00AD4B17"/>
    <w:rsid w:val="00B23784"/>
    <w:rsid w:val="00B26FA6"/>
    <w:rsid w:val="00B41B1B"/>
    <w:rsid w:val="00B42580"/>
    <w:rsid w:val="00B669E8"/>
    <w:rsid w:val="00B741CB"/>
    <w:rsid w:val="00B7433F"/>
    <w:rsid w:val="00B934F3"/>
    <w:rsid w:val="00BB6347"/>
    <w:rsid w:val="00BD2134"/>
    <w:rsid w:val="00BF2C0F"/>
    <w:rsid w:val="00C038D8"/>
    <w:rsid w:val="00C045DD"/>
    <w:rsid w:val="00C3136F"/>
    <w:rsid w:val="00C3483A"/>
    <w:rsid w:val="00C656A0"/>
    <w:rsid w:val="00C74E9D"/>
    <w:rsid w:val="00C82FD3"/>
    <w:rsid w:val="00C9282B"/>
    <w:rsid w:val="00CA63C7"/>
    <w:rsid w:val="00CC6B7B"/>
    <w:rsid w:val="00CD3619"/>
    <w:rsid w:val="00CD7431"/>
    <w:rsid w:val="00CF4447"/>
    <w:rsid w:val="00D25528"/>
    <w:rsid w:val="00D37A66"/>
    <w:rsid w:val="00D405E7"/>
    <w:rsid w:val="00D41D56"/>
    <w:rsid w:val="00D42F94"/>
    <w:rsid w:val="00D5180D"/>
    <w:rsid w:val="00D6260D"/>
    <w:rsid w:val="00D6662B"/>
    <w:rsid w:val="00D72D6E"/>
    <w:rsid w:val="00D95E2F"/>
    <w:rsid w:val="00D970A9"/>
    <w:rsid w:val="00DB3AC0"/>
    <w:rsid w:val="00DE68F0"/>
    <w:rsid w:val="00DF3845"/>
    <w:rsid w:val="00DF7E17"/>
    <w:rsid w:val="00E52B87"/>
    <w:rsid w:val="00EB00A2"/>
    <w:rsid w:val="00EB1BF3"/>
    <w:rsid w:val="00EB4BA5"/>
    <w:rsid w:val="00EB54F8"/>
    <w:rsid w:val="00EF3EEE"/>
    <w:rsid w:val="00F114C0"/>
    <w:rsid w:val="00F149A7"/>
    <w:rsid w:val="00F50BAF"/>
    <w:rsid w:val="00F52C10"/>
    <w:rsid w:val="00F56CA6"/>
    <w:rsid w:val="00F81FFD"/>
    <w:rsid w:val="00F85228"/>
    <w:rsid w:val="00FA6DE6"/>
    <w:rsid w:val="00FB6773"/>
    <w:rsid w:val="00FE25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6A4B8-7A25-448B-BD7C-67F45035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1401</Words>
  <Characters>7991</Characters>
  <Application>Microsoft Office Word</Application>
  <DocSecurity>0</DocSecurity>
  <Lines>66</Lines>
  <Paragraphs>18</Paragraphs>
  <ScaleCrop>false</ScaleCrop>
  <Company> </Company>
  <LinksUpToDate>false</LinksUpToDate>
  <CharactersWithSpaces>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2014-03-03T14:55:00Z</cp:lastPrinted>
  <dcterms:created xsi:type="dcterms:W3CDTF">2014-04-17T19:43:00Z</dcterms:created>
  <dcterms:modified xsi:type="dcterms:W3CDTF">2014-04-17T19:43:00Z</dcterms:modified>
</cp:coreProperties>
</file>