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5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3112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D56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12</w:t>
      </w:r>
      <w:r w:rsidR="00DA1F83">
        <w:rPr>
          <w:rFonts w:eastAsia="Times New Roman"/>
        </w:rPr>
        <w:noBreakHyphen/>
      </w:r>
      <w:r>
        <w:rPr>
          <w:rFonts w:eastAsia="Times New Roman"/>
        </w:rPr>
        <w:t>6</w:t>
      </w:r>
      <w:r w:rsidR="00DA1F83">
        <w:rPr>
          <w:rFonts w:eastAsia="Times New Roman"/>
        </w:rPr>
        <w:noBreakHyphen/>
      </w:r>
      <w:r>
        <w:rPr>
          <w:rFonts w:eastAsia="Times New Roman"/>
        </w:rPr>
        <w:t>3535 OF THE 1976 CODE, RELATING TO TAX CREDITS FOR MAKING QUALIFIED REHABILITATION EXPENDITURES FOR CERTIFIED HISTORIC STRUCTURES, TO CLARIFY THE TAXES AND LICENSE FEES AGAINST WHICH THE TAX CREDIT MAY BE TAKEN, TO PRO</w:t>
      </w:r>
      <w:r w:rsidR="00B33EF5">
        <w:rPr>
          <w:rFonts w:eastAsia="Times New Roman"/>
        </w:rPr>
        <w:t>VIDE FOR A NEW TWENTY</w:t>
      </w:r>
      <w:r w:rsidR="00DA1F83">
        <w:rPr>
          <w:rFonts w:eastAsia="Times New Roman"/>
        </w:rPr>
        <w:noBreakHyphen/>
      </w:r>
      <w:r>
        <w:rPr>
          <w:rFonts w:eastAsia="Times New Roman"/>
        </w:rPr>
        <w:t>FIVE PERCENT TAX CREDIT, TO PROVIDE FOR THE CIRCUMSTANCES AND LIMITATIONS OF THE NEW TAX CREDIT, TO DEFINE STATE OWNED ABANDONED BUILDING FOR THE PURPOSES OF THE SECTION, TO PROVIDE FOR THE TIME PERIOD DURING WHICH A TAX CREDIT MAY BE CLAIMED FOR WORK PERFORMED IN CONNECTION WITH A STATE OWNED ABANDONED BUILDING, TO PROVIDE THAT THE TAX CREDIT MAY BE ASSIGNED; TO AMEND SECTION 12</w:t>
      </w:r>
      <w:r w:rsidR="00DA1F83">
        <w:rPr>
          <w:rFonts w:eastAsia="Times New Roman"/>
        </w:rPr>
        <w:noBreakHyphen/>
      </w:r>
      <w:r>
        <w:rPr>
          <w:rFonts w:eastAsia="Times New Roman"/>
        </w:rPr>
        <w:t>67</w:t>
      </w:r>
      <w:r w:rsidR="00DA1F83">
        <w:rPr>
          <w:rFonts w:eastAsia="Times New Roman"/>
        </w:rPr>
        <w:noBreakHyphen/>
      </w:r>
      <w:r>
        <w:rPr>
          <w:rFonts w:eastAsia="Times New Roman"/>
        </w:rPr>
        <w:t>120 TO PROVIDE A DEFINITION FOR STATE OWNED ABANDONED BUILDING FOR THE PURPOSES OF CHAPTER 67, TITLE 12</w:t>
      </w:r>
      <w:r w:rsidR="00B33EF5">
        <w:rPr>
          <w:rFonts w:eastAsia="Times New Roman"/>
        </w:rPr>
        <w:t>;</w:t>
      </w:r>
      <w:r>
        <w:rPr>
          <w:rFonts w:eastAsia="Times New Roman"/>
        </w:rPr>
        <w:t xml:space="preserve"> TO AMEND SECTION 12</w:t>
      </w:r>
      <w:r w:rsidR="00DA1F83">
        <w:rPr>
          <w:rFonts w:eastAsia="Times New Roman"/>
        </w:rPr>
        <w:noBreakHyphen/>
      </w:r>
      <w:r>
        <w:rPr>
          <w:rFonts w:eastAsia="Times New Roman"/>
        </w:rPr>
        <w:t>67</w:t>
      </w:r>
      <w:r w:rsidR="00DA1F83">
        <w:rPr>
          <w:rFonts w:eastAsia="Times New Roman"/>
        </w:rPr>
        <w:noBreakHyphen/>
      </w:r>
      <w:r>
        <w:rPr>
          <w:rFonts w:eastAsia="Times New Roman"/>
        </w:rPr>
        <w:t>140, TO INCLUDE INSURANCE PREMIUM TAXES AS ONE OF THE TAXES AGAINST WHICH A CREDIT CAN BE CLAIMED, TO PROVIDE FOR THE TIME PERIOD IN WHICH A TAX CREDIT MAY BE TAKEN, TO PROVIDE FOR AN EXEMPTION TO THE VALUE LIMITATIONS OF THE TAX CREDIT FOR WORK DONE IN CONNECTION WITH A</w:t>
      </w:r>
      <w:r w:rsidR="00BB35F7">
        <w:rPr>
          <w:rFonts w:eastAsia="Times New Roman"/>
        </w:rPr>
        <w:t xml:space="preserve"> STATE OWNED ABANDONED BUILDING,</w:t>
      </w:r>
      <w:r>
        <w:rPr>
          <w:rFonts w:eastAsia="Times New Roman"/>
        </w:rPr>
        <w:t xml:space="preserve"> AND TO REMOVE A LIMITATION RELATED TO THE AMOUNT A TAXPAYER</w:t>
      </w:r>
      <w:r w:rsidR="00DA1F83" w:rsidRPr="00DA1F83">
        <w:rPr>
          <w:rFonts w:eastAsia="Times New Roman"/>
        </w:rPr>
        <w:t>’</w:t>
      </w:r>
      <w:r>
        <w:rPr>
          <w:rFonts w:eastAsia="Times New Roman"/>
        </w:rPr>
        <w:t>S TAX LIABILITY MAY BE REDUCED.</w:t>
      </w:r>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12E"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A74BE8">
        <w:rPr>
          <w:rFonts w:eastAsia="Times New Roman"/>
        </w:rPr>
        <w:t>Section 12</w:t>
      </w:r>
      <w:r w:rsidR="00DA1F83">
        <w:rPr>
          <w:rFonts w:eastAsia="Times New Roman"/>
        </w:rPr>
        <w:noBreakHyphen/>
      </w:r>
      <w:r w:rsidR="00A74BE8">
        <w:rPr>
          <w:rFonts w:eastAsia="Times New Roman"/>
        </w:rPr>
        <w:t>6</w:t>
      </w:r>
      <w:r w:rsidR="00DA1F83">
        <w:rPr>
          <w:rFonts w:eastAsia="Times New Roman"/>
        </w:rPr>
        <w:noBreakHyphen/>
      </w:r>
      <w:r w:rsidR="00A74BE8">
        <w:rPr>
          <w:rFonts w:eastAsia="Times New Roman"/>
        </w:rPr>
        <w:t>3535 of the 1976 Code is amended to read:</w:t>
      </w:r>
    </w:p>
    <w:p w:rsidR="00A74BE8" w:rsidRDefault="00A74B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4BE8" w:rsidRDefault="00967F34"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ab/>
        <w:t>“</w:t>
      </w:r>
      <w:r w:rsidR="00A74BE8">
        <w:rPr>
          <w:rFonts w:eastAsia="Times New Roman"/>
        </w:rPr>
        <w:t>Section 12</w:t>
      </w:r>
      <w:r w:rsidR="00DA1F83">
        <w:rPr>
          <w:rFonts w:eastAsia="Times New Roman"/>
        </w:rPr>
        <w:noBreakHyphen/>
      </w:r>
      <w:r w:rsidR="00A74BE8">
        <w:rPr>
          <w:rFonts w:eastAsia="Times New Roman"/>
        </w:rPr>
        <w:t>6</w:t>
      </w:r>
      <w:r w:rsidR="00DA1F83">
        <w:rPr>
          <w:rFonts w:eastAsia="Times New Roman"/>
        </w:rPr>
        <w:noBreakHyphen/>
      </w:r>
      <w:r w:rsidR="00A74BE8">
        <w:rPr>
          <w:rFonts w:eastAsia="Times New Roman"/>
        </w:rPr>
        <w:t>3535.</w:t>
      </w:r>
      <w:r w:rsidR="00A74BE8">
        <w:rPr>
          <w:color w:val="000000"/>
        </w:rPr>
        <w:tab/>
      </w:r>
      <w:r w:rsidR="00F14AF0">
        <w:rPr>
          <w:color w:val="000000"/>
        </w:rPr>
        <w:t>(A)</w:t>
      </w:r>
      <w:r w:rsidR="00F14AF0">
        <w:rPr>
          <w:color w:val="000000"/>
        </w:rPr>
        <w:tab/>
      </w:r>
      <w:r w:rsidR="00A74BE8" w:rsidRPr="00180357">
        <w:rPr>
          <w:color w:val="000000"/>
        </w:rPr>
        <w:t>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w:t>
      </w:r>
      <w:r w:rsidR="00A74BE8">
        <w:rPr>
          <w:color w:val="000000"/>
          <w:u w:val="single"/>
        </w:rPr>
        <w:t>, including income taxes imposed pursuant to Chapter 6 and Chapter 11, corporate license fees imposed pursuant to Chapter 20, and insurance premium taxes</w:t>
      </w:r>
      <w:r w:rsidR="000024DA">
        <w:rPr>
          <w:color w:val="000000"/>
          <w:u w:val="single"/>
        </w:rPr>
        <w:t>, including retaliatory tax,</w:t>
      </w:r>
      <w:r w:rsidR="00A74BE8">
        <w:rPr>
          <w:color w:val="000000"/>
          <w:u w:val="single"/>
        </w:rPr>
        <w:t xml:space="preserve"> imposed by Chapter 7, Title 38, or a combination of them</w:t>
      </w:r>
      <w:r w:rsidR="000024DA">
        <w:rPr>
          <w:color w:val="000000"/>
          <w:u w:val="single"/>
        </w:rPr>
        <w:t>. A claimant of a tax credit shall not be required to pay any retaliatory tax levied pursuant to Chapter 7, Title 38 as a result of claiming the tax credit</w:t>
      </w:r>
      <w:r w:rsidR="00A74BE8" w:rsidRPr="00180357">
        <w:rPr>
          <w:color w:val="000000"/>
        </w:rPr>
        <w:t xml:space="preserve">. For the purposes of this section, </w:t>
      </w:r>
      <w:r w:rsidR="00DA1F83" w:rsidRPr="00DA1F83">
        <w:rPr>
          <w:color w:val="000000"/>
        </w:rPr>
        <w:t>‘</w:t>
      </w:r>
      <w:r w:rsidR="00A74BE8" w:rsidRPr="00180357">
        <w:rPr>
          <w:color w:val="000000"/>
        </w:rPr>
        <w:t>qualified rehabilitation expenditures</w:t>
      </w:r>
      <w:r w:rsidR="00DA1F83" w:rsidRPr="00DA1F83">
        <w:rPr>
          <w:color w:val="000000"/>
        </w:rPr>
        <w:t>’</w:t>
      </w:r>
      <w:r w:rsidR="00A74BE8" w:rsidRPr="00180357">
        <w:rPr>
          <w:color w:val="000000"/>
        </w:rPr>
        <w:t xml:space="preserve"> and </w:t>
      </w:r>
      <w:r w:rsidR="00DA1F83" w:rsidRPr="00DA1F83">
        <w:rPr>
          <w:color w:val="000000"/>
        </w:rPr>
        <w:t>‘</w:t>
      </w:r>
      <w:r w:rsidR="00A74BE8" w:rsidRPr="00180357">
        <w:rPr>
          <w:color w:val="000000"/>
        </w:rPr>
        <w:t xml:space="preserve">certified historic structure are defined as provided in the Internal Revenue Code Section 47 and the applicable treasury regulations. </w:t>
      </w:r>
      <w:r w:rsidR="00A74BE8">
        <w:rPr>
          <w:color w:val="000000"/>
          <w:u w:val="single"/>
        </w:rPr>
        <w:t>Except as provided in subsection (A)(1),</w:t>
      </w:r>
      <w:r w:rsidR="00A74BE8">
        <w:rPr>
          <w:color w:val="000000"/>
        </w:rPr>
        <w:t xml:space="preserve"> </w:t>
      </w:r>
      <w:r w:rsidR="00A74BE8" w:rsidRPr="00A74BE8">
        <w:rPr>
          <w:strike/>
          <w:color w:val="000000"/>
        </w:rPr>
        <w:t>The</w:t>
      </w:r>
      <w:r w:rsidR="00A74BE8" w:rsidRPr="00180357">
        <w:rPr>
          <w:color w:val="000000"/>
        </w:rPr>
        <w:t xml:space="preserve"> </w:t>
      </w:r>
      <w:r w:rsidR="00A74BE8">
        <w:rPr>
          <w:color w:val="000000"/>
          <w:u w:val="single"/>
        </w:rPr>
        <w:t>the</w:t>
      </w:r>
      <w:r w:rsidR="00A74BE8" w:rsidRPr="00A74BE8">
        <w:rPr>
          <w:color w:val="000000"/>
        </w:rPr>
        <w:t xml:space="preserve"> </w:t>
      </w:r>
      <w:r w:rsidR="00A74BE8" w:rsidRPr="00180357">
        <w:rPr>
          <w:color w:val="000000"/>
        </w:rPr>
        <w:t>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(1)</w:t>
      </w:r>
      <w:r>
        <w:rPr>
          <w:color w:val="000000"/>
        </w:rPr>
        <w:tab/>
      </w:r>
      <w:r>
        <w:rPr>
          <w:color w:val="000000"/>
          <w:u w:val="single"/>
        </w:rPr>
        <w:t>A</w:t>
      </w:r>
      <w:r w:rsidR="00967F34">
        <w:rPr>
          <w:color w:val="000000"/>
          <w:u w:val="single"/>
        </w:rPr>
        <w:t xml:space="preserve"> taxpayer may elect a twenty</w:t>
      </w:r>
      <w:r w:rsidR="00DA1F83">
        <w:rPr>
          <w:color w:val="000000"/>
          <w:u w:val="single"/>
        </w:rPr>
        <w:noBreakHyphen/>
      </w:r>
      <w:r>
        <w:rPr>
          <w:color w:val="000000"/>
          <w:u w:val="single"/>
        </w:rPr>
        <w:t>five percent tax credit in lieu of the ten percent tax credit.</w:t>
      </w:r>
    </w:p>
    <w:p w:rsidR="00A74BE8" w:rsidRP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(2)</w:t>
      </w:r>
      <w:r>
        <w:rPr>
          <w:color w:val="000000"/>
        </w:rPr>
        <w:tab/>
      </w:r>
      <w:r w:rsidR="00967F34">
        <w:rPr>
          <w:color w:val="000000"/>
          <w:u w:val="single"/>
        </w:rPr>
        <w:t>A taxpayer electing a twenty</w:t>
      </w:r>
      <w:r w:rsidR="00DA1F83">
        <w:rPr>
          <w:color w:val="000000"/>
          <w:u w:val="single"/>
        </w:rPr>
        <w:noBreakHyphen/>
      </w:r>
      <w:r>
        <w:rPr>
          <w:color w:val="000000"/>
          <w:u w:val="single"/>
        </w:rPr>
        <w:t xml:space="preserve">five percent tax credit may not claim a credit that exceeds five hundred thousand dollars for each certified historic structure. </w:t>
      </w:r>
      <w:r w:rsidR="000024DA">
        <w:rPr>
          <w:color w:val="000000"/>
          <w:u w:val="single"/>
        </w:rPr>
        <w:t>The limitation provided for in this item shall not apply to credits claimed for qualified rehabilitation expenditures related to any state owned abandoned building</w:t>
      </w:r>
      <w:r w:rsidR="00C406FB">
        <w:rPr>
          <w:color w:val="000000"/>
          <w:u w:val="single"/>
        </w:rPr>
        <w:t>.</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A74BE8" w:rsidRPr="00180357">
        <w:rPr>
          <w:color w:val="000000"/>
        </w:rPr>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00DA1F83">
        <w:rPr>
          <w:color w:val="000000"/>
        </w:rPr>
        <w:noBreakHyphen/>
      </w:r>
      <w:r w:rsidR="00A74BE8" w:rsidRPr="00180357">
        <w:rPr>
          <w:color w:val="000000"/>
        </w:rPr>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w:t>
      </w:r>
      <w:r w:rsidR="00A74BE8" w:rsidRPr="00180357">
        <w:rPr>
          <w:color w:val="000000"/>
        </w:rPr>
        <w:lastRenderedPageBreak/>
        <w:t>necessary for the calculation of the credit provided by this subsection. A taxpayer filing an electronic return shall keep a copy of the certification with his tax records.</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t>For the purposes of subsections (B) through (F):</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DA1F83" w:rsidRPr="00DA1F83">
        <w:rPr>
          <w:color w:val="000000"/>
        </w:rPr>
        <w:t>‘</w:t>
      </w:r>
      <w:r w:rsidR="00A74BE8" w:rsidRPr="00180357">
        <w:rPr>
          <w:color w:val="000000"/>
        </w:rPr>
        <w:t>Certified historic residential structure</w:t>
      </w:r>
      <w:r w:rsidR="00DA1F83" w:rsidRPr="00DA1F83">
        <w:rPr>
          <w:color w:val="000000"/>
        </w:rPr>
        <w:t>’</w:t>
      </w:r>
      <w:r w:rsidR="00A74BE8" w:rsidRPr="00180357">
        <w:rPr>
          <w:color w:val="000000"/>
        </w:rPr>
        <w:t xml:space="preserve"> means an owner</w:t>
      </w:r>
      <w:r w:rsidR="00DA1F83">
        <w:rPr>
          <w:color w:val="000000"/>
        </w:rPr>
        <w:noBreakHyphen/>
      </w:r>
      <w:r w:rsidR="00A74BE8" w:rsidRPr="00180357">
        <w:rPr>
          <w:color w:val="000000"/>
        </w:rPr>
        <w:t>occupied residence that is:</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00A74BE8" w:rsidRPr="00180357">
        <w:rPr>
          <w:color w:val="000000"/>
        </w:rPr>
        <w:t>listed individually in the National Register of Historic Places;</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00A74BE8" w:rsidRPr="00180357">
        <w:rPr>
          <w:color w:val="000000"/>
        </w:rPr>
        <w:t>considered by the State Historic Preservation Officer to contribute to the historic significance of a National Register Historic District;</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r>
      <w:r w:rsidRPr="00180357">
        <w:rPr>
          <w:color w:val="000000"/>
        </w:rPr>
        <w:tab/>
        <w:t>(c)</w:t>
      </w:r>
      <w:r w:rsidR="00F14AF0">
        <w:rPr>
          <w:color w:val="000000"/>
        </w:rPr>
        <w:tab/>
      </w:r>
      <w:r w:rsidRPr="00180357">
        <w:rPr>
          <w:color w:val="000000"/>
        </w:rPr>
        <w:t>considered by the State Historic Preservation Officer to meet the criteria for individual listing in the National Register of Historic Places;  or</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r>
      <w:r w:rsidRPr="00180357">
        <w:rPr>
          <w:color w:val="000000"/>
        </w:rPr>
        <w:tab/>
        <w:t>(d)</w:t>
      </w:r>
      <w:r w:rsidR="00F14AF0">
        <w:rPr>
          <w:color w:val="000000"/>
        </w:rPr>
        <w:tab/>
      </w:r>
      <w:r w:rsidRPr="00180357">
        <w:rPr>
          <w:color w:val="000000"/>
        </w:rPr>
        <w:t>an outbuilding of an otherwise eligible property considered by the State Historic Preservation Officer to contribute to the historic significance of the property.</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t>(2)</w:t>
      </w:r>
      <w:r w:rsidR="00F14AF0">
        <w:rPr>
          <w:color w:val="000000"/>
        </w:rPr>
        <w:tab/>
      </w:r>
      <w:r w:rsidR="00DA1F83" w:rsidRPr="00DA1F83">
        <w:rPr>
          <w:color w:val="000000"/>
        </w:rPr>
        <w:t>‘</w:t>
      </w:r>
      <w:r w:rsidRPr="00180357">
        <w:rPr>
          <w:color w:val="000000"/>
        </w:rPr>
        <w:t>Certified rehabilitation</w:t>
      </w:r>
      <w:r w:rsidR="00DA1F83" w:rsidRPr="00DA1F83">
        <w:rPr>
          <w:color w:val="000000"/>
        </w:rPr>
        <w:t>’</w:t>
      </w:r>
      <w:r w:rsidRPr="00180357">
        <w:rPr>
          <w:color w:val="000000"/>
        </w:rPr>
        <w:t xml:space="preserve"> means repairs or alterations consistent with the Secretary of the Interior</w:t>
      </w:r>
      <w:r w:rsidR="00DA1F83" w:rsidRPr="00DA1F83">
        <w:rPr>
          <w:color w:val="000000"/>
        </w:rPr>
        <w:t>’</w:t>
      </w:r>
      <w:r w:rsidRPr="00180357">
        <w:rPr>
          <w:color w:val="000000"/>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00DA1F83">
        <w:rPr>
          <w:color w:val="000000"/>
        </w:rPr>
        <w:noBreakHyphen/>
      </w:r>
      <w:r w:rsidRPr="00180357">
        <w:rPr>
          <w:color w:val="000000"/>
        </w:rPr>
        <w:t>six</w:t>
      </w:r>
      <w:r w:rsidR="00DA1F83">
        <w:rPr>
          <w:color w:val="000000"/>
        </w:rPr>
        <w:noBreakHyphen/>
      </w:r>
      <w:r w:rsidRPr="00180357">
        <w:rPr>
          <w:color w:val="000000"/>
        </w:rPr>
        <w:t>month period, exceed fifteen thousand dollars. A taxpayer shall not take more than one credit on the same certified historic residential structure within ten years.</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r>
      <w:r w:rsidRPr="00180357">
        <w:rPr>
          <w:color w:val="000000"/>
        </w:rPr>
        <w:tab/>
        <w:t>(</w:t>
      </w:r>
      <w:r w:rsidR="00F14AF0">
        <w:rPr>
          <w:color w:val="000000"/>
        </w:rPr>
        <w:t>3)</w:t>
      </w:r>
      <w:r w:rsidR="00F14AF0">
        <w:rPr>
          <w:color w:val="000000"/>
        </w:rPr>
        <w:tab/>
      </w:r>
      <w:r w:rsidR="00DA1F83" w:rsidRPr="00DA1F83">
        <w:rPr>
          <w:color w:val="000000"/>
        </w:rPr>
        <w:t>‘</w:t>
      </w:r>
      <w:r w:rsidRPr="00180357">
        <w:rPr>
          <w:color w:val="000000"/>
        </w:rPr>
        <w:t>Rehabilitation expenses</w:t>
      </w:r>
      <w:r w:rsidR="00DA1F83" w:rsidRPr="00DA1F83">
        <w:rPr>
          <w:color w:val="000000"/>
        </w:rPr>
        <w:t>’</w:t>
      </w:r>
      <w:r w:rsidRPr="00180357">
        <w:rPr>
          <w:color w:val="000000"/>
        </w:rPr>
        <w:t xml:space="preserve">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00DA1F83">
        <w:rPr>
          <w:color w:val="000000"/>
        </w:rPr>
        <w:noBreakHyphen/>
      </w:r>
      <w:r w:rsidRPr="00180357">
        <w:rPr>
          <w:color w:val="000000"/>
        </w:rPr>
        <w:t>conditioning, or ventilating systems, repairs or rehabilitation of electrical or plumbing systems exclusive of new electrical appliances and electrical or plumbing fixtures, and architectural and engineering fees.</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lastRenderedPageBreak/>
        <w:tab/>
      </w:r>
      <w:r w:rsidRPr="00180357">
        <w:rPr>
          <w:color w:val="000000"/>
        </w:rPr>
        <w:tab/>
      </w:r>
      <w:r w:rsidR="00DA1F83" w:rsidRPr="00DA1F83">
        <w:rPr>
          <w:color w:val="000000"/>
        </w:rPr>
        <w:t>‘</w:t>
      </w:r>
      <w:r w:rsidRPr="00180357">
        <w:rPr>
          <w:color w:val="000000"/>
        </w:rPr>
        <w:t>Rehabilitation expenses</w:t>
      </w:r>
      <w:r w:rsidR="00DA1F83" w:rsidRPr="00DA1F83">
        <w:rPr>
          <w:color w:val="000000"/>
        </w:rPr>
        <w:t>’</w:t>
      </w:r>
      <w:r w:rsidRPr="00180357">
        <w:rPr>
          <w:color w:val="000000"/>
        </w:rPr>
        <w:t xml:space="preserve"> do not include the cost of acquiring or marketing the property, the cost of new construction beyond the volume of the existing certified historic residential structure, the value of an owner</w:t>
      </w:r>
      <w:r w:rsidR="00DA1F83" w:rsidRPr="00DA1F83">
        <w:rPr>
          <w:color w:val="000000"/>
        </w:rPr>
        <w:t>’</w:t>
      </w:r>
      <w:r w:rsidRPr="00180357">
        <w:rPr>
          <w:color w:val="000000"/>
        </w:rPr>
        <w:t>s personal labor, or the cost of personal property.</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(4)</w:t>
      </w:r>
      <w:r>
        <w:rPr>
          <w:color w:val="000000"/>
        </w:rPr>
        <w:tab/>
      </w:r>
      <w:r w:rsidR="00DA1F83" w:rsidRPr="00DA1F83">
        <w:rPr>
          <w:color w:val="000000"/>
        </w:rPr>
        <w:t>‘</w:t>
      </w:r>
      <w:r w:rsidR="00A74BE8" w:rsidRPr="00180357">
        <w:rPr>
          <w:color w:val="000000"/>
        </w:rPr>
        <w:t>State Historic Preservation Officer</w:t>
      </w:r>
      <w:r w:rsidR="00DA1F83" w:rsidRPr="00DA1F83">
        <w:rPr>
          <w:color w:val="000000"/>
        </w:rPr>
        <w:t>’</w:t>
      </w:r>
      <w:r w:rsidR="00A74BE8" w:rsidRPr="00180357">
        <w:rPr>
          <w:color w:val="000000"/>
        </w:rPr>
        <w:t xml:space="preserve"> means the Director of the Department of Archives and History or the director</w:t>
      </w:r>
      <w:r w:rsidR="00DA1F83" w:rsidRPr="00DA1F83">
        <w:rPr>
          <w:color w:val="000000"/>
        </w:rPr>
        <w:t>’</w:t>
      </w:r>
      <w:r w:rsidR="00A74BE8" w:rsidRPr="00180357">
        <w:rPr>
          <w:color w:val="000000"/>
        </w:rPr>
        <w:t>s designee who administers the historic preservation programs within the State.</w:t>
      </w:r>
    </w:p>
    <w:p w:rsidR="00A74BE8" w:rsidRDefault="00F14AF0"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(5)</w:t>
      </w:r>
      <w:r>
        <w:rPr>
          <w:color w:val="000000"/>
        </w:rPr>
        <w:tab/>
      </w:r>
      <w:r w:rsidR="00DA1F83" w:rsidRPr="00DA1F83">
        <w:rPr>
          <w:color w:val="000000"/>
        </w:rPr>
        <w:t>‘</w:t>
      </w:r>
      <w:r w:rsidR="00A74BE8" w:rsidRPr="00180357">
        <w:rPr>
          <w:color w:val="000000"/>
        </w:rPr>
        <w:t>Owner</w:t>
      </w:r>
      <w:r w:rsidR="00DA1F83">
        <w:rPr>
          <w:color w:val="000000"/>
        </w:rPr>
        <w:noBreakHyphen/>
      </w:r>
      <w:r w:rsidR="00A74BE8" w:rsidRPr="00180357">
        <w:rPr>
          <w:color w:val="000000"/>
        </w:rPr>
        <w:t>occupied residence</w:t>
      </w:r>
      <w:r w:rsidR="00DA1F83" w:rsidRPr="00DA1F83">
        <w:rPr>
          <w:color w:val="000000"/>
        </w:rPr>
        <w:t>’</w:t>
      </w:r>
      <w:r w:rsidR="00A74BE8" w:rsidRPr="00180357">
        <w:rPr>
          <w:color w:val="000000"/>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A74BE8" w:rsidRDefault="004C4EFF"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(a)</w:t>
      </w:r>
      <w:r>
        <w:rPr>
          <w:color w:val="000000"/>
        </w:rPr>
        <w:tab/>
      </w:r>
      <w:r w:rsidR="00A74BE8" w:rsidRPr="00180357">
        <w:rPr>
          <w:color w:val="000000"/>
        </w:rPr>
        <w:t>actively used in a trade or business;</w:t>
      </w:r>
    </w:p>
    <w:p w:rsidR="00A74BE8" w:rsidRDefault="004C4EFF"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(b)</w:t>
      </w:r>
      <w:r>
        <w:rPr>
          <w:color w:val="000000"/>
        </w:rPr>
        <w:tab/>
      </w:r>
      <w:r w:rsidR="00A74BE8" w:rsidRPr="00180357">
        <w:rPr>
          <w:color w:val="000000"/>
        </w:rPr>
        <w:t>held for the production of income;  or</w:t>
      </w:r>
    </w:p>
    <w:p w:rsidR="00A74BE8" w:rsidRDefault="004C4EFF"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r>
      <w:r>
        <w:rPr>
          <w:color w:val="000000"/>
        </w:rPr>
        <w:tab/>
        <w:t>(c)</w:t>
      </w:r>
      <w:r>
        <w:rPr>
          <w:color w:val="000000"/>
        </w:rPr>
        <w:tab/>
      </w:r>
      <w:r w:rsidR="00A74BE8" w:rsidRPr="00180357">
        <w:rPr>
          <w:color w:val="000000"/>
        </w:rPr>
        <w:t>held for sales or disposition in the ordinary course of the taxpayer</w:t>
      </w:r>
      <w:r w:rsidR="00DA1F83" w:rsidRPr="00DA1F83">
        <w:rPr>
          <w:color w:val="000000"/>
        </w:rPr>
        <w:t>’</w:t>
      </w:r>
      <w:r w:rsidR="00A74BE8" w:rsidRPr="00180357">
        <w:rPr>
          <w:color w:val="000000"/>
        </w:rPr>
        <w:t>s trade or business.</w:t>
      </w:r>
    </w:p>
    <w:p w:rsidR="00C406FB" w:rsidRP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r>
      <w:r>
        <w:rPr>
          <w:color w:val="000000"/>
          <w:u w:val="single"/>
        </w:rPr>
        <w:t>(6)</w:t>
      </w:r>
      <w:r>
        <w:rPr>
          <w:color w:val="000000"/>
        </w:rPr>
        <w:tab/>
      </w:r>
      <w:r w:rsidR="00DA1F83" w:rsidRPr="00DA1F83">
        <w:rPr>
          <w:color w:val="000000"/>
          <w:u w:val="single"/>
        </w:rPr>
        <w:t>‘</w:t>
      </w:r>
      <w:r>
        <w:rPr>
          <w:color w:val="000000"/>
          <w:u w:val="single"/>
        </w:rPr>
        <w:t>State owned abandoned building</w:t>
      </w:r>
      <w:r w:rsidR="00DA1F83" w:rsidRPr="00DA1F83">
        <w:rPr>
          <w:color w:val="000000"/>
          <w:u w:val="single"/>
        </w:rPr>
        <w:t>’</w:t>
      </w:r>
      <w:r w:rsidR="00A35B03">
        <w:rPr>
          <w:color w:val="000000"/>
          <w:u w:val="single"/>
        </w:rPr>
        <w:t xml:space="preserve"> </w:t>
      </w:r>
      <w:r w:rsidR="000024DA">
        <w:rPr>
          <w:color w:val="000000"/>
          <w:u w:val="single"/>
        </w:rPr>
        <w:t xml:space="preserve">shall have the same meaning as provided in </w:t>
      </w:r>
      <w:r>
        <w:rPr>
          <w:color w:val="000000"/>
          <w:u w:val="single"/>
        </w:rPr>
        <w:t>Section 12</w:t>
      </w:r>
      <w:r w:rsidR="00DA1F83">
        <w:rPr>
          <w:color w:val="000000"/>
          <w:u w:val="single"/>
        </w:rPr>
        <w:noBreakHyphen/>
      </w:r>
      <w:r>
        <w:rPr>
          <w:color w:val="000000"/>
          <w:u w:val="single"/>
        </w:rPr>
        <w:t>67</w:t>
      </w:r>
      <w:r w:rsidR="00DA1F83">
        <w:rPr>
          <w:color w:val="000000"/>
          <w:u w:val="single"/>
        </w:rPr>
        <w:noBreakHyphen/>
      </w:r>
      <w:r>
        <w:rPr>
          <w:color w:val="000000"/>
          <w:u w:val="single"/>
        </w:rPr>
        <w:t>120(</w:t>
      </w:r>
      <w:r w:rsidR="000024DA">
        <w:rPr>
          <w:color w:val="000000"/>
          <w:u w:val="single"/>
        </w:rPr>
        <w:t>8)</w:t>
      </w:r>
      <w:r>
        <w:rPr>
          <w:color w:val="000000"/>
          <w:u w:val="single"/>
        </w:rPr>
        <w:t>.</w:t>
      </w:r>
    </w:p>
    <w:p w:rsidR="00A74BE8"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(C)(1)</w:t>
      </w:r>
      <w:r>
        <w:rPr>
          <w:color w:val="000000"/>
        </w:rPr>
        <w:tab/>
      </w:r>
      <w:r w:rsidR="00A74BE8" w:rsidRPr="00C406FB">
        <w:rPr>
          <w:strike/>
          <w:color w:val="000000"/>
        </w:rPr>
        <w:t>The</w:t>
      </w:r>
      <w:r w:rsidR="00A74BE8" w:rsidRPr="00180357">
        <w:rPr>
          <w:color w:val="000000"/>
        </w:rPr>
        <w:t xml:space="preserve"> </w:t>
      </w:r>
      <w:r>
        <w:rPr>
          <w:color w:val="000000"/>
          <w:u w:val="single"/>
        </w:rPr>
        <w:t>Except for a credit claimed in connection with the rehabilitation of a state owned abandoned building, the</w:t>
      </w:r>
      <w:r w:rsidRPr="00C406FB">
        <w:rPr>
          <w:color w:val="000000"/>
        </w:rPr>
        <w:t xml:space="preserve"> </w:t>
      </w:r>
      <w:r w:rsidR="00A74BE8" w:rsidRPr="00180357">
        <w:rPr>
          <w:color w:val="000000"/>
        </w:rPr>
        <w:t>entire credit may not be taken for the taxable year in which the property is placed in service but must be taken in equal installments over a five</w:t>
      </w:r>
      <w:r w:rsidR="00DA1F83">
        <w:rPr>
          <w:color w:val="000000"/>
        </w:rPr>
        <w:noBreakHyphen/>
      </w:r>
      <w:r w:rsidR="00A74BE8" w:rsidRPr="00180357">
        <w:rPr>
          <w:color w:val="000000"/>
        </w:rPr>
        <w:t>year period beginning with the year in which the property is placed in service.</w:t>
      </w:r>
      <w:r>
        <w:rPr>
          <w:color w:val="000000"/>
        </w:rPr>
        <w:t xml:space="preserve"> </w:t>
      </w:r>
      <w:r>
        <w:rPr>
          <w:color w:val="000000"/>
          <w:u w:val="single"/>
        </w:rPr>
        <w:t>If the credit is claimed in connection with the rehabilitation of a state owned abandoned building, the entire credit may not be taken for the taxable year in which the property is placed in service, but, rather must be taken in equal installments over a two</w:t>
      </w:r>
      <w:r w:rsidR="00DA1F83">
        <w:rPr>
          <w:color w:val="000000"/>
          <w:u w:val="single"/>
        </w:rPr>
        <w:noBreakHyphen/>
      </w:r>
      <w:r>
        <w:rPr>
          <w:color w:val="000000"/>
          <w:u w:val="single"/>
        </w:rPr>
        <w:t>year period beginning with the year in which the property is placed in service.</w:t>
      </w:r>
      <w:r w:rsidR="00967F34">
        <w:rPr>
          <w:color w:val="000000"/>
        </w:rPr>
        <w:t xml:space="preserve"> </w:t>
      </w:r>
      <w:r w:rsidR="00DA1F83" w:rsidRPr="00DA1F83">
        <w:rPr>
          <w:color w:val="000000"/>
        </w:rPr>
        <w:t>‘</w:t>
      </w:r>
      <w:r w:rsidR="00A74BE8" w:rsidRPr="00180357">
        <w:rPr>
          <w:color w:val="000000"/>
        </w:rPr>
        <w:t>Placed in service</w:t>
      </w:r>
      <w:r w:rsidR="00DA1F83" w:rsidRPr="00DA1F83">
        <w:rPr>
          <w:color w:val="000000"/>
        </w:rPr>
        <w:t>’</w:t>
      </w:r>
      <w:r w:rsidR="00A74BE8" w:rsidRPr="00180357">
        <w:rPr>
          <w:color w:val="000000"/>
        </w:rPr>
        <w:t xml:space="preserve"> means the rehabilitation is completed and allows for the intended use. Any unused portion of any credit installment may be carried forward for the succeeding five years.</w:t>
      </w:r>
    </w:p>
    <w:p w:rsidR="00A74BE8" w:rsidRP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rPr>
        <w:tab/>
        <w:t>(2)</w:t>
      </w:r>
      <w:r>
        <w:rPr>
          <w:color w:val="000000"/>
        </w:rPr>
        <w:tab/>
      </w:r>
      <w:r w:rsidR="00A74BE8" w:rsidRPr="00180357">
        <w:rPr>
          <w:color w:val="000000"/>
        </w:rPr>
        <w:t xml:space="preserve">The credit earned </w:t>
      </w:r>
      <w:r w:rsidR="00967F34">
        <w:rPr>
          <w:color w:val="000000"/>
        </w:rPr>
        <w:t xml:space="preserve">pursuant to this section by an </w:t>
      </w:r>
      <w:r w:rsidR="00DA1F83" w:rsidRPr="00DA1F83">
        <w:rPr>
          <w:color w:val="000000"/>
        </w:rPr>
        <w:t>‘</w:t>
      </w:r>
      <w:r w:rsidR="00A74BE8" w:rsidRPr="00180357">
        <w:rPr>
          <w:color w:val="000000"/>
        </w:rPr>
        <w:t>S</w:t>
      </w:r>
      <w:r w:rsidR="00DA1F83" w:rsidRPr="00DA1F83">
        <w:rPr>
          <w:color w:val="000000"/>
        </w:rPr>
        <w:t>’</w:t>
      </w:r>
      <w:r w:rsidR="00A74BE8" w:rsidRPr="00180357">
        <w:rPr>
          <w:color w:val="000000"/>
        </w:rPr>
        <w:t xml:space="preserve"> corporation owing corporate level income tax must be u</w:t>
      </w:r>
      <w:r w:rsidR="00967F34">
        <w:rPr>
          <w:color w:val="000000"/>
        </w:rPr>
        <w:t>sed first at the entity level.</w:t>
      </w:r>
      <w:r w:rsidR="00A74BE8" w:rsidRPr="00180357">
        <w:rPr>
          <w:color w:val="000000"/>
        </w:rPr>
        <w:t xml:space="preserve"> Remaining credit passes through to each shareholder in a percentage equal to each shareholder</w:t>
      </w:r>
      <w:r w:rsidR="00DA1F83" w:rsidRPr="00DA1F83">
        <w:rPr>
          <w:color w:val="000000"/>
        </w:rPr>
        <w:t>’</w:t>
      </w:r>
      <w:r w:rsidR="00A74BE8" w:rsidRPr="00180357">
        <w:rPr>
          <w:color w:val="000000"/>
        </w:rPr>
        <w:t>s percentage of stock ownership. The credit earned pursuant to this section by a general partnership, limited partnership, limited liability company, or other</w:t>
      </w:r>
      <w:r>
        <w:rPr>
          <w:color w:val="000000"/>
        </w:rPr>
        <w:t xml:space="preserve"> </w:t>
      </w:r>
      <w:r>
        <w:rPr>
          <w:color w:val="000000"/>
          <w:u w:val="single"/>
        </w:rPr>
        <w:t>pass</w:t>
      </w:r>
      <w:r w:rsidR="00DA1F83">
        <w:rPr>
          <w:color w:val="000000"/>
          <w:u w:val="single"/>
        </w:rPr>
        <w:noBreakHyphen/>
      </w:r>
      <w:r>
        <w:rPr>
          <w:color w:val="000000"/>
          <w:u w:val="single"/>
        </w:rPr>
        <w:t>through</w:t>
      </w:r>
      <w:r w:rsidR="00A74BE8" w:rsidRPr="00180357">
        <w:rPr>
          <w:color w:val="000000"/>
        </w:rPr>
        <w:t xml:space="preserve"> entity taxed </w:t>
      </w:r>
      <w:r w:rsidR="00A74BE8" w:rsidRPr="00C406FB">
        <w:rPr>
          <w:strike/>
          <w:color w:val="000000"/>
        </w:rPr>
        <w:t>as a partnership</w:t>
      </w:r>
      <w:r w:rsidR="00A74BE8" w:rsidRPr="00180357">
        <w:rPr>
          <w:color w:val="000000"/>
        </w:rPr>
        <w:t xml:space="preserve"> must be passed through to its partners and may be allocated among partners, including without limitation, an allocation of the entire credit to </w:t>
      </w:r>
      <w:r w:rsidR="00A74BE8" w:rsidRPr="00180357">
        <w:rPr>
          <w:color w:val="000000"/>
        </w:rPr>
        <w:lastRenderedPageBreak/>
        <w:t xml:space="preserve">one partner, in a manner agreed by the partners </w:t>
      </w:r>
      <w:r w:rsidR="00A74BE8" w:rsidRPr="00C406FB">
        <w:rPr>
          <w:strike/>
          <w:color w:val="000000"/>
        </w:rPr>
        <w:t>that is consistent with Subchapter K of the Internal Revenue Code</w:t>
      </w:r>
      <w:r w:rsidR="00A74BE8" w:rsidRPr="00180357">
        <w:rPr>
          <w:color w:val="000000"/>
        </w:rPr>
        <w:t xml:space="preserve">. As used in this item the term </w:t>
      </w:r>
      <w:r w:rsidR="00DA1F83" w:rsidRPr="00DA1F83">
        <w:rPr>
          <w:color w:val="000000"/>
        </w:rPr>
        <w:t>‘</w:t>
      </w:r>
      <w:r w:rsidR="00A74BE8" w:rsidRPr="00180357">
        <w:rPr>
          <w:color w:val="000000"/>
        </w:rPr>
        <w:t>partner</w:t>
      </w:r>
      <w:r w:rsidR="00DA1F83" w:rsidRPr="00DA1F83">
        <w:rPr>
          <w:color w:val="000000"/>
        </w:rPr>
        <w:t>’</w:t>
      </w:r>
      <w:r w:rsidR="00A74BE8" w:rsidRPr="00180357">
        <w:rPr>
          <w:color w:val="000000"/>
        </w:rPr>
        <w:t xml:space="preserve"> means a partner, member, or owner of an interest in the pass</w:t>
      </w:r>
      <w:r w:rsidR="00DA1F83">
        <w:rPr>
          <w:color w:val="000000"/>
        </w:rPr>
        <w:noBreakHyphen/>
      </w:r>
      <w:r w:rsidR="00A74BE8" w:rsidRPr="00180357">
        <w:rPr>
          <w:color w:val="000000"/>
        </w:rPr>
        <w:t>through entity, as applicable.</w:t>
      </w:r>
      <w:r>
        <w:rPr>
          <w:color w:val="000000"/>
        </w:rPr>
        <w:t xml:space="preserve"> </w:t>
      </w:r>
      <w:r>
        <w:rPr>
          <w:color w:val="000000"/>
          <w:u w:val="single"/>
        </w:rPr>
        <w:t xml:space="preserve">The credit claimed pursuant to this section may be assigned to one or more assignees who also </w:t>
      </w:r>
      <w:r w:rsidR="00967F34">
        <w:rPr>
          <w:color w:val="000000"/>
          <w:u w:val="single"/>
        </w:rPr>
        <w:t xml:space="preserve">may further assign the credit. </w:t>
      </w:r>
      <w:r>
        <w:rPr>
          <w:color w:val="000000"/>
          <w:u w:val="single"/>
        </w:rPr>
        <w:t>An assignment of the credit may involve one or more assignees and</w:t>
      </w:r>
      <w:r w:rsidR="00967F34">
        <w:rPr>
          <w:color w:val="000000"/>
          <w:u w:val="single"/>
        </w:rPr>
        <w:t xml:space="preserve"> more than one assignment date.</w:t>
      </w:r>
      <w:r>
        <w:rPr>
          <w:color w:val="000000"/>
          <w:u w:val="single"/>
        </w:rPr>
        <w:t xml:space="preserve"> Written notice of assignments shall be submitted to the Department of Revenue within thirty days after the assignment.</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t>(D)</w:t>
      </w:r>
      <w:r w:rsidR="00F14AF0">
        <w:rPr>
          <w:color w:val="000000"/>
        </w:rPr>
        <w:tab/>
      </w:r>
      <w:r w:rsidRPr="00180357">
        <w:rPr>
          <w:color w:val="000000"/>
        </w:rPr>
        <w:t>Additional work done by the taxpayer while the credit is being claimed, for a period of up to five years, must be consistent with the Secretary of the Interior</w:t>
      </w:r>
      <w:r w:rsidR="00DA1F83" w:rsidRPr="00DA1F83">
        <w:rPr>
          <w:color w:val="000000"/>
        </w:rPr>
        <w:t>’</w:t>
      </w:r>
      <w:r w:rsidRPr="00180357">
        <w:rPr>
          <w:color w:val="000000"/>
        </w:rPr>
        <w:t>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80357">
        <w:rPr>
          <w:color w:val="000000"/>
        </w:rPr>
        <w:tab/>
        <w:t>(E)</w:t>
      </w:r>
      <w:r w:rsidR="00F14AF0">
        <w:rPr>
          <w:color w:val="000000"/>
        </w:rPr>
        <w:tab/>
      </w:r>
      <w:r w:rsidRPr="00180357">
        <w:rPr>
          <w:color w:val="000000"/>
        </w:rPr>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A74BE8"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(F)</w:t>
      </w:r>
      <w:r>
        <w:rPr>
          <w:color w:val="000000"/>
        </w:rPr>
        <w:tab/>
      </w:r>
      <w:r w:rsidR="00A74BE8" w:rsidRPr="00180357">
        <w:rPr>
          <w:color w:val="000000"/>
        </w:rPr>
        <w:t>A taxpayer may appeal a decision of the State Historic Preservation Officer to a committee of the State Review Board appointed by the chairperson.</w:t>
      </w:r>
      <w:r w:rsidR="00967F34">
        <w:rPr>
          <w:color w:val="000000"/>
        </w:rPr>
        <w:t>”</w:t>
      </w:r>
    </w:p>
    <w:p w:rsidR="00A74BE8" w:rsidRDefault="00A74BE8"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Section 12</w:t>
      </w:r>
      <w:r w:rsidR="00DA1F83">
        <w:rPr>
          <w:rFonts w:eastAsia="Times New Roman"/>
        </w:rPr>
        <w:noBreakHyphen/>
      </w:r>
      <w:r>
        <w:rPr>
          <w:rFonts w:eastAsia="Times New Roman"/>
        </w:rPr>
        <w:t>67</w:t>
      </w:r>
      <w:r w:rsidR="00DA1F83">
        <w:rPr>
          <w:rFonts w:eastAsia="Times New Roman"/>
        </w:rPr>
        <w:noBreakHyphen/>
      </w:r>
      <w:r>
        <w:rPr>
          <w:rFonts w:eastAsia="Times New Roman"/>
        </w:rPr>
        <w:t>120 of the 1976 Code is amended by adding:</w:t>
      </w: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“(8)</w:t>
      </w:r>
      <w:r>
        <w:rPr>
          <w:rFonts w:eastAsia="Times New Roman"/>
        </w:rPr>
        <w:tab/>
      </w:r>
      <w:r w:rsidR="00DA1F83" w:rsidRPr="00DA1F83">
        <w:rPr>
          <w:rFonts w:eastAsia="Times New Roman"/>
        </w:rPr>
        <w:t>‘</w:t>
      </w:r>
      <w:r>
        <w:rPr>
          <w:rFonts w:eastAsia="Times New Roman"/>
        </w:rPr>
        <w:t>State owned abandoned building</w:t>
      </w:r>
      <w:r w:rsidR="00DA1F83" w:rsidRPr="00DA1F83">
        <w:rPr>
          <w:rFonts w:eastAsia="Times New Roman"/>
        </w:rPr>
        <w:t>’</w:t>
      </w:r>
      <w:r>
        <w:rPr>
          <w:rFonts w:eastAsia="Times New Roman"/>
        </w:rPr>
        <w:t xml:space="preserve"> means an abandoned building and its ancillary service buildings or a facility that is greater than </w:t>
      </w:r>
      <w:r w:rsidR="000024DA">
        <w:rPr>
          <w:rFonts w:eastAsia="Times New Roman"/>
        </w:rPr>
        <w:t>one</w:t>
      </w:r>
      <w:r>
        <w:rPr>
          <w:rFonts w:eastAsia="Times New Roman"/>
        </w:rPr>
        <w:t xml:space="preserve"> hundred </w:t>
      </w:r>
      <w:r w:rsidR="000024DA">
        <w:rPr>
          <w:rFonts w:eastAsia="Times New Roman"/>
        </w:rPr>
        <w:t xml:space="preserve">fifty </w:t>
      </w:r>
      <w:r>
        <w:rPr>
          <w:rFonts w:eastAsia="Times New Roman"/>
        </w:rPr>
        <w:t xml:space="preserve">thousand square feet, that has been abandoned for more than ten years, and was </w:t>
      </w:r>
      <w:r w:rsidR="000024DA">
        <w:rPr>
          <w:rFonts w:eastAsia="Times New Roman"/>
        </w:rPr>
        <w:t>most recently</w:t>
      </w:r>
      <w:r>
        <w:rPr>
          <w:rFonts w:eastAsia="Times New Roman"/>
        </w:rPr>
        <w:t xml:space="preserve"> owned by the State</w:t>
      </w:r>
      <w:r w:rsidR="000024DA">
        <w:rPr>
          <w:rFonts w:eastAsia="Times New Roman"/>
        </w:rPr>
        <w:t>, or an agency, instrumentality, or political subdivision of the State</w:t>
      </w:r>
      <w:r>
        <w:rPr>
          <w:rFonts w:eastAsia="Times New Roman"/>
        </w:rPr>
        <w:t>.”</w:t>
      </w: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06FB" w:rsidRDefault="00C406FB"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r>
      <w:r w:rsidR="002B1052">
        <w:rPr>
          <w:rFonts w:eastAsia="Times New Roman"/>
        </w:rPr>
        <w:t>Section 12</w:t>
      </w:r>
      <w:r w:rsidR="00DA1F83">
        <w:rPr>
          <w:rFonts w:eastAsia="Times New Roman"/>
        </w:rPr>
        <w:noBreakHyphen/>
      </w:r>
      <w:r w:rsidR="002B1052">
        <w:rPr>
          <w:rFonts w:eastAsia="Times New Roman"/>
        </w:rPr>
        <w:t>67</w:t>
      </w:r>
      <w:r w:rsidR="00DA1F83">
        <w:rPr>
          <w:rFonts w:eastAsia="Times New Roman"/>
        </w:rPr>
        <w:noBreakHyphen/>
      </w:r>
      <w:r w:rsidR="002B1052">
        <w:rPr>
          <w:rFonts w:eastAsia="Times New Roman"/>
        </w:rPr>
        <w:t>140(A) and (B) of the 1976 Code is amended to read:</w:t>
      </w:r>
    </w:p>
    <w:p w:rsidR="002B1052" w:rsidRDefault="002B1052"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967F34">
        <w:rPr>
          <w:rFonts w:eastAsia="Times New Roman"/>
        </w:rPr>
        <w:t>“</w:t>
      </w:r>
      <w:r>
        <w:rPr>
          <w:rFonts w:eastAsia="Times New Roman"/>
        </w:rPr>
        <w:t>Section 12</w:t>
      </w:r>
      <w:r w:rsidR="00DA1F83">
        <w:rPr>
          <w:rFonts w:eastAsia="Times New Roman"/>
        </w:rPr>
        <w:noBreakHyphen/>
      </w:r>
      <w:r>
        <w:rPr>
          <w:rFonts w:eastAsia="Times New Roman"/>
        </w:rPr>
        <w:t>67</w:t>
      </w:r>
      <w:r w:rsidR="00DA1F83">
        <w:rPr>
          <w:rFonts w:eastAsia="Times New Roman"/>
        </w:rPr>
        <w:noBreakHyphen/>
      </w:r>
      <w:r>
        <w:rPr>
          <w:rFonts w:eastAsia="Times New Roman"/>
        </w:rPr>
        <w:t>140.</w:t>
      </w:r>
      <w:r>
        <w:rPr>
          <w:rFonts w:eastAsia="Times New Roman"/>
        </w:rPr>
        <w:tab/>
        <w:t>(A)</w:t>
      </w:r>
      <w:r>
        <w:rPr>
          <w:rFonts w:eastAsia="Times New Roman"/>
        </w:rPr>
        <w:tab/>
      </w:r>
      <w:r w:rsidRPr="004D3AC1">
        <w:t>Subject to the terms and conditions of this chapter, a taxpayer who rehabilitates an abandoned building is eligible for either: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t>(1)</w:t>
      </w:r>
      <w:r>
        <w:tab/>
      </w:r>
      <w:r w:rsidRPr="004D3AC1">
        <w:t xml:space="preserve">a credit against income taxes imposed pursuant to Chapter 6 and Chapter 11 of this title, corporate license fees pursuant to Chapter 20 of this title, </w:t>
      </w:r>
      <w:r w:rsidRPr="002B1052">
        <w:rPr>
          <w:strike/>
        </w:rPr>
        <w:t>or</w:t>
      </w:r>
      <w:r w:rsidRPr="004D3AC1">
        <w:t xml:space="preserve"> taxes on associations pursuant to Chapter 13 of this title,</w:t>
      </w:r>
      <w:r>
        <w:t xml:space="preserve"> </w:t>
      </w:r>
      <w:r>
        <w:rPr>
          <w:u w:val="single"/>
        </w:rPr>
        <w:t>or insurance premium taxes</w:t>
      </w:r>
      <w:r w:rsidR="000024DA">
        <w:rPr>
          <w:u w:val="single"/>
        </w:rPr>
        <w:t>, including retaliatory taxes,</w:t>
      </w:r>
      <w:r>
        <w:rPr>
          <w:u w:val="single"/>
        </w:rPr>
        <w:t xml:space="preserve"> imposed by Chapter 7, Title 38,</w:t>
      </w:r>
      <w:r w:rsidRPr="004D3AC1">
        <w:t xml:space="preserve"> or a combination </w:t>
      </w:r>
      <w:r w:rsidRPr="002B1052">
        <w:rPr>
          <w:strike/>
        </w:rPr>
        <w:t>thereof</w:t>
      </w:r>
      <w:r>
        <w:t xml:space="preserve"> </w:t>
      </w:r>
      <w:r>
        <w:rPr>
          <w:u w:val="single"/>
        </w:rPr>
        <w:t>of them</w:t>
      </w:r>
      <w:r w:rsidR="00967F34">
        <w:t xml:space="preserve">; </w:t>
      </w:r>
      <w:r w:rsidRPr="004D3AC1">
        <w:t xml:space="preserve"> or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t>(2)</w:t>
      </w:r>
      <w:r>
        <w:tab/>
      </w:r>
      <w:r w:rsidRPr="004D3AC1">
        <w:t>a credit against real property taxes levied by local taxing entities.</w:t>
      </w:r>
    </w:p>
    <w:p w:rsidR="00F85C21" w:rsidRPr="00F85C21" w:rsidRDefault="00F85C21"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(B)</w:t>
      </w:r>
      <w:r w:rsidRPr="00F85C21">
        <w:tab/>
      </w:r>
      <w:r>
        <w:rPr>
          <w:u w:val="single"/>
        </w:rPr>
        <w:t>A claimant of a tax credit shall not be required to pay any retaliatory tax levied pursuant to Chapter 7, Title 38 as a result of claiming the credit.</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85C21">
        <w:rPr>
          <w:strike/>
        </w:rPr>
        <w:t>(B)</w:t>
      </w:r>
      <w:r w:rsidR="00F85C21">
        <w:rPr>
          <w:u w:val="single"/>
        </w:rPr>
        <w:t>(C)</w:t>
      </w:r>
      <w:r>
        <w:tab/>
      </w:r>
      <w:r w:rsidRPr="004D3AC1">
        <w:t>If the taxpayer elects to receive the credit pursuant to subsection (A)(1), the following provisions apply:</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4D3AC1">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4D3AC1">
        <w:t>The amount of the credit is equal to twenty</w:t>
      </w:r>
      <w:r w:rsidR="00DA1F83">
        <w:noBreakHyphen/>
      </w:r>
      <w:r w:rsidRPr="004D3AC1">
        <w:t>five percent of the actual rehabilitation expenses incurred at the building site if the actual rehabilitation expenses incurred in rehabilitating the building site are between eighty percent and one hundred twenty</w:t>
      </w:r>
      <w:r w:rsidR="00DA1F83">
        <w:noBreakHyphen/>
      </w:r>
      <w:r w:rsidRPr="004D3AC1">
        <w:t>five percent of the estimated rehabilitation expenses set forth in the Notice of Intent to Rehabilitate. If the actual rehabilitation expenses exceed one hundred twenty</w:t>
      </w:r>
      <w:r w:rsidR="00DA1F83">
        <w:noBreakHyphen/>
      </w:r>
      <w:r w:rsidRPr="004D3AC1">
        <w:t>five percent of the estimated expenses set forth in the Notice of Intent to Rehabilitate, the taxpayer qualifies for the credit based on one hundred twenty</w:t>
      </w:r>
      <w:r w:rsidR="00DA1F83">
        <w:noBreakHyphen/>
      </w:r>
      <w:r w:rsidRPr="004D3AC1">
        <w:t>five percent of the estimated expenses as opposed to the actual expenses it incurred in rehabilitating the building site. If the actual rehabilitation expenses are below eighty percent of the estimated rehabilitation expenses, the credit is not allowed.</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(3)(a)</w:t>
      </w:r>
      <w:r>
        <w:tab/>
      </w:r>
      <w:r w:rsidRPr="002B1052">
        <w:rPr>
          <w:strike/>
        </w:rPr>
        <w:t>The</w:t>
      </w:r>
      <w:r w:rsidRPr="004D3AC1">
        <w:t xml:space="preserve"> </w:t>
      </w:r>
      <w:r>
        <w:rPr>
          <w:u w:val="single"/>
        </w:rPr>
        <w:t>Except for a credit claimed in connection with the rehabilitation of a state owned abandoned building, the</w:t>
      </w:r>
      <w:r>
        <w:t xml:space="preserve"> </w:t>
      </w:r>
      <w:r w:rsidRPr="004D3AC1">
        <w:t>entire credit is earned in the taxable year in which the applicable phase or portion of the building site is placed in service but must be taken in equal installments over a five</w:t>
      </w:r>
      <w:r w:rsidR="00DA1F83">
        <w:noBreakHyphen/>
      </w:r>
      <w:r w:rsidRPr="004D3AC1">
        <w:t xml:space="preserve">year period beginning with the tax year in which the applicable phase or portion of the building site is placed in service. </w:t>
      </w:r>
      <w:r>
        <w:rPr>
          <w:u w:val="single"/>
        </w:rPr>
        <w:t xml:space="preserve">If the credit is earned in connection with the rehabilitation of a state owned abandoned building, the entire </w:t>
      </w:r>
      <w:r>
        <w:rPr>
          <w:u w:val="single"/>
        </w:rPr>
        <w:lastRenderedPageBreak/>
        <w:t>credit is earned in the taxable year in which the applicable phase or portion of the building site is placed in service but must be claimed in equal installments o</w:t>
      </w:r>
      <w:r w:rsidR="00BB35F7">
        <w:rPr>
          <w:u w:val="single"/>
        </w:rPr>
        <w:t>ver a two</w:t>
      </w:r>
      <w:r w:rsidR="00DA1F83">
        <w:rPr>
          <w:u w:val="single"/>
        </w:rPr>
        <w:noBreakHyphen/>
      </w:r>
      <w:r>
        <w:rPr>
          <w:u w:val="single"/>
        </w:rPr>
        <w:t>year period beginning with the tax year in which the applicable phase or portion of the building site is placed in service.</w:t>
      </w:r>
      <w:r>
        <w:t xml:space="preserve"> </w:t>
      </w:r>
      <w:r w:rsidRPr="004D3AC1">
        <w:t>Unused credit may be carried forward for the succeeding five years.</w:t>
      </w:r>
    </w:p>
    <w:p w:rsidR="002B1052" w:rsidRP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D3AC1">
        <w:tab/>
      </w:r>
      <w:r w:rsidRPr="004D3AC1">
        <w:tab/>
      </w:r>
      <w:r w:rsidRPr="004D3AC1">
        <w:tab/>
        <w:t>(b)</w:t>
      </w:r>
      <w:r>
        <w:tab/>
      </w:r>
      <w:r w:rsidRPr="004D3AC1">
        <w:t>The entire credit earned pursuant to this subsection may not exceed five hundred thousand dollars for any taxpayer in a tax year for each abandoned building site. The limitation provided in this subitem applies to each unit or parcel deemed to be an abandoned building site.</w:t>
      </w:r>
      <w:r>
        <w:t xml:space="preserve"> </w:t>
      </w:r>
      <w:r>
        <w:rPr>
          <w:u w:val="single"/>
        </w:rPr>
        <w:t>The limitation provided for in this subitem shall not apply to any state owned abandoned building.</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4D3AC1">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2B1052">
        <w:rPr>
          <w:strike/>
        </w:rPr>
        <w:t>(5)</w:t>
      </w:r>
      <w:r>
        <w:tab/>
      </w:r>
      <w:r w:rsidRPr="002B1052">
        <w:rPr>
          <w:strike/>
        </w:rPr>
        <w:t>The credit allowed by this subsection is limited in use to fifty percent of either: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B1052">
        <w:rPr>
          <w:strike/>
        </w:rPr>
        <w:t>(a)</w:t>
      </w:r>
      <w:r>
        <w:tab/>
      </w:r>
      <w:r w:rsidRPr="002B1052">
        <w:rPr>
          <w:strike/>
        </w:rPr>
        <w:t>the taxpayer</w:t>
      </w:r>
      <w:r w:rsidR="00DA1F83" w:rsidRPr="00DA1F83">
        <w:rPr>
          <w:strike/>
        </w:rPr>
        <w:t>’</w:t>
      </w:r>
      <w:r w:rsidRPr="002B1052">
        <w:rPr>
          <w:strike/>
        </w:rPr>
        <w:t>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2B1052">
        <w:rPr>
          <w:strike/>
        </w:rPr>
        <w:t>(b)</w:t>
      </w:r>
      <w:r>
        <w:tab/>
      </w:r>
      <w:r w:rsidRPr="002B1052">
        <w:rPr>
          <w:strike/>
        </w:rPr>
        <w:t>the taxpayer</w:t>
      </w:r>
      <w:r w:rsidR="00DA1F83" w:rsidRPr="00DA1F83">
        <w:rPr>
          <w:strike/>
        </w:rPr>
        <w:t>’</w:t>
      </w:r>
      <w:r w:rsidRPr="002B1052">
        <w:rPr>
          <w:strike/>
        </w:rPr>
        <w:t>s corporate license fees for the taxable year if the taxpayer claims the credit allowed by this section as a credit against license fees imposed pursuant to Chapter 20.</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r>
      <w:r w:rsidRPr="002B1052">
        <w:rPr>
          <w:strike/>
        </w:rPr>
        <w:t>(6)</w:t>
      </w:r>
      <w:r>
        <w:rPr>
          <w:u w:val="single"/>
        </w:rPr>
        <w:t>(5)</w:t>
      </w:r>
      <w:r>
        <w:t>(a)</w:t>
      </w:r>
      <w:r>
        <w:tab/>
      </w:r>
      <w:r w:rsidRPr="004D3AC1">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4D3AC1">
        <w:t>To the extent that the taxpayer transfers the credit, the taxpayer shall notify the department of the transfer in the manner the department prescribes.</w:t>
      </w:r>
    </w:p>
    <w:p w:rsidR="002B1052" w:rsidRDefault="002B1052" w:rsidP="002B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D3AC1">
        <w:tab/>
      </w:r>
      <w:r w:rsidRPr="004D3AC1">
        <w:tab/>
      </w:r>
      <w:r w:rsidRPr="002B1052">
        <w:rPr>
          <w:strike/>
        </w:rPr>
        <w:t>(7)</w:t>
      </w:r>
      <w:r>
        <w:rPr>
          <w:u w:val="single"/>
        </w:rPr>
        <w:t>(6)</w:t>
      </w:r>
      <w:r w:rsidRPr="002B1052">
        <w:tab/>
      </w:r>
      <w:r w:rsidRPr="004D3AC1">
        <w:t xml:space="preserve">To the extent that the taxpayer is a partnership or a limited liability company taxed as a partnership, the credit may be </w:t>
      </w:r>
      <w:r w:rsidRPr="004D3AC1">
        <w:lastRenderedPageBreak/>
        <w:t>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r>
        <w:t>”</w:t>
      </w:r>
    </w:p>
    <w:p w:rsidR="002B1052" w:rsidRDefault="002B1052" w:rsidP="00A74B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CE0" w:rsidRPr="00522CE0" w:rsidRDefault="00931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14AF0">
        <w:rPr>
          <w:rFonts w:eastAsia="Times New Roman"/>
        </w:rPr>
        <w:t>4</w:t>
      </w:r>
      <w:r>
        <w:rPr>
          <w:rFonts w:eastAsia="Times New Roman"/>
        </w:rPr>
        <w:t>.</w:t>
      </w:r>
      <w:r>
        <w:rPr>
          <w:rFonts w:eastAsia="Times New Roman"/>
        </w:rPr>
        <w:tab/>
        <w:t>This act takes effect upon approval by the Governor.</w:t>
      </w:r>
    </w:p>
    <w:p w:rsidR="006B5474" w:rsidRDefault="00DA1F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B5474" w:rsidRDefault="006B5474" w:rsidP="006B5474">
      <w:pPr>
        <w:suppressAutoHyphens/>
        <w:jc w:val="both"/>
        <w:rPr>
          <w:rFonts w:eastAsia="Times New Roman"/>
        </w:rPr>
      </w:pPr>
    </w:p>
    <w:sectPr w:rsidR="006B5474" w:rsidSect="006B54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B03" w:rsidRDefault="00A35B03" w:rsidP="00522CE0">
      <w:r>
        <w:separator/>
      </w:r>
    </w:p>
  </w:endnote>
  <w:endnote w:type="continuationSeparator" w:id="0">
    <w:p w:rsidR="00A35B03" w:rsidRDefault="00A35B0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C41666-D6F0-4314-998E-3FEC22C3CB20}"/>
    <w:embedBold r:id="rId2" w:fontKey="{D3778245-3B83-435A-B595-34245C219700}"/>
  </w:font>
  <w:font w:name="Calibri">
    <w:panose1 w:val="020F0502020204030204"/>
    <w:charset w:val="00"/>
    <w:family w:val="swiss"/>
    <w:pitch w:val="variable"/>
    <w:sig w:usb0="E10002FF" w:usb1="4000ACFF" w:usb2="00000009" w:usb3="00000000" w:csb0="0000019F" w:csb1="00000000"/>
    <w:embedRegular r:id="rId3" w:fontKey="{E83E65C8-EFF4-479C-AF76-F0430557810B}"/>
  </w:font>
  <w:font w:name="Cambria">
    <w:panose1 w:val="02040503050406030204"/>
    <w:charset w:val="00"/>
    <w:family w:val="roman"/>
    <w:pitch w:val="variable"/>
    <w:sig w:usb0="E00002FF" w:usb1="400004FF" w:usb2="00000000" w:usb3="00000000" w:csb0="0000019F" w:csb1="00000000"/>
    <w:embedRegular r:id="rId4" w:fontKey="{5AF556A4-AB63-4C12-8CB7-2C514E21C3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A00" w:rsidRPr="006B5474" w:rsidRDefault="006B5474" w:rsidP="006B5474">
    <w:pPr>
      <w:pStyle w:val="Footer"/>
      <w:tabs>
        <w:tab w:val="clear" w:pos="4680"/>
        <w:tab w:val="clear" w:pos="9360"/>
        <w:tab w:val="center" w:pos="2995"/>
      </w:tabs>
      <w:spacing w:before="120"/>
    </w:pPr>
    <w:r>
      <w:t>[1200]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B03" w:rsidRDefault="00A35B03" w:rsidP="00522CE0">
      <w:r>
        <w:separator/>
      </w:r>
    </w:p>
  </w:footnote>
  <w:footnote w:type="continuationSeparator" w:id="0">
    <w:p w:rsidR="00A35B03" w:rsidRDefault="00A35B0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2STAT.KMM.CC"/>
    <w:docVar w:name="CoverAttorneyInitials" w:val="KMM"/>
    <w:docVar w:name="CoverAttorneyLastName" w:val="Moffitt"/>
    <w:docVar w:name="CoverBillType" w:val="b"/>
    <w:docVar w:name="CoverSenator" w:val="CC"/>
    <w:docVar w:name="dvBillNumber" w:val="1200"/>
    <w:docVar w:name="dvBillNumberPrefix" w:val="S. "/>
    <w:docVar w:name="dvOriginalBody" w:val="Senate"/>
    <w:docVar w:name="fulldraftpath" w:val="L:\S-RES\CC\002STAT.KMM.CC.DOCX"/>
    <w:docVar w:name="NameofBody" w:val="S"/>
    <w:docVar w:name="vgroup2" w:val="S-RES"/>
  </w:docVars>
  <w:rsids>
    <w:rsidRoot w:val="00DE4513"/>
    <w:rsid w:val="000024DA"/>
    <w:rsid w:val="00042AC1"/>
    <w:rsid w:val="00046516"/>
    <w:rsid w:val="0007601D"/>
    <w:rsid w:val="000B0720"/>
    <w:rsid w:val="000B5EAF"/>
    <w:rsid w:val="0012566B"/>
    <w:rsid w:val="00170561"/>
    <w:rsid w:val="00186AC9"/>
    <w:rsid w:val="00197DF1"/>
    <w:rsid w:val="001B3DD9"/>
    <w:rsid w:val="001B7E5D"/>
    <w:rsid w:val="001D3BAC"/>
    <w:rsid w:val="00216025"/>
    <w:rsid w:val="00233DEF"/>
    <w:rsid w:val="00245C4E"/>
    <w:rsid w:val="00266885"/>
    <w:rsid w:val="002B1052"/>
    <w:rsid w:val="002C1321"/>
    <w:rsid w:val="002C5896"/>
    <w:rsid w:val="002D3BED"/>
    <w:rsid w:val="00307C2B"/>
    <w:rsid w:val="00383247"/>
    <w:rsid w:val="003971DD"/>
    <w:rsid w:val="003D6E2B"/>
    <w:rsid w:val="003E633F"/>
    <w:rsid w:val="003E7597"/>
    <w:rsid w:val="0044020F"/>
    <w:rsid w:val="00450668"/>
    <w:rsid w:val="004813A2"/>
    <w:rsid w:val="004952FA"/>
    <w:rsid w:val="004B6A22"/>
    <w:rsid w:val="004B7266"/>
    <w:rsid w:val="004C4EFF"/>
    <w:rsid w:val="004D7F37"/>
    <w:rsid w:val="004E094D"/>
    <w:rsid w:val="00520672"/>
    <w:rsid w:val="00522CE0"/>
    <w:rsid w:val="00565148"/>
    <w:rsid w:val="00566E10"/>
    <w:rsid w:val="00593361"/>
    <w:rsid w:val="005A413B"/>
    <w:rsid w:val="005A5017"/>
    <w:rsid w:val="005A648C"/>
    <w:rsid w:val="005B03B4"/>
    <w:rsid w:val="005F1745"/>
    <w:rsid w:val="006A1802"/>
    <w:rsid w:val="006B5474"/>
    <w:rsid w:val="006C3205"/>
    <w:rsid w:val="006C74EA"/>
    <w:rsid w:val="006D5616"/>
    <w:rsid w:val="00720D40"/>
    <w:rsid w:val="007318D4"/>
    <w:rsid w:val="00765784"/>
    <w:rsid w:val="007A4390"/>
    <w:rsid w:val="007E5CB7"/>
    <w:rsid w:val="008314D2"/>
    <w:rsid w:val="00833D67"/>
    <w:rsid w:val="00871A00"/>
    <w:rsid w:val="008B19D4"/>
    <w:rsid w:val="008B2F42"/>
    <w:rsid w:val="008C3697"/>
    <w:rsid w:val="008E185F"/>
    <w:rsid w:val="008F023B"/>
    <w:rsid w:val="00904E16"/>
    <w:rsid w:val="009162B3"/>
    <w:rsid w:val="00922C40"/>
    <w:rsid w:val="00927C62"/>
    <w:rsid w:val="0093112E"/>
    <w:rsid w:val="0093271B"/>
    <w:rsid w:val="00967F34"/>
    <w:rsid w:val="00983951"/>
    <w:rsid w:val="00984124"/>
    <w:rsid w:val="00984640"/>
    <w:rsid w:val="00995C37"/>
    <w:rsid w:val="009C118A"/>
    <w:rsid w:val="00A02011"/>
    <w:rsid w:val="00A35B03"/>
    <w:rsid w:val="00A4011E"/>
    <w:rsid w:val="00A74BE8"/>
    <w:rsid w:val="00A86015"/>
    <w:rsid w:val="00A9594E"/>
    <w:rsid w:val="00AE59C8"/>
    <w:rsid w:val="00B10098"/>
    <w:rsid w:val="00B33EF5"/>
    <w:rsid w:val="00B5790D"/>
    <w:rsid w:val="00B945C5"/>
    <w:rsid w:val="00BA20EA"/>
    <w:rsid w:val="00BB35F7"/>
    <w:rsid w:val="00BB5AFC"/>
    <w:rsid w:val="00BC0A56"/>
    <w:rsid w:val="00C406FB"/>
    <w:rsid w:val="00C45366"/>
    <w:rsid w:val="00C57023"/>
    <w:rsid w:val="00C74052"/>
    <w:rsid w:val="00CB187A"/>
    <w:rsid w:val="00CC0EC7"/>
    <w:rsid w:val="00D1088B"/>
    <w:rsid w:val="00D14DE6"/>
    <w:rsid w:val="00D156D2"/>
    <w:rsid w:val="00D53E29"/>
    <w:rsid w:val="00D62498"/>
    <w:rsid w:val="00D86943"/>
    <w:rsid w:val="00DA1F83"/>
    <w:rsid w:val="00DA47B9"/>
    <w:rsid w:val="00DA5638"/>
    <w:rsid w:val="00DE4513"/>
    <w:rsid w:val="00E058D3"/>
    <w:rsid w:val="00E76AD9"/>
    <w:rsid w:val="00E91E2F"/>
    <w:rsid w:val="00E92F3E"/>
    <w:rsid w:val="00EA3546"/>
    <w:rsid w:val="00EB47AE"/>
    <w:rsid w:val="00EC34E1"/>
    <w:rsid w:val="00F0234A"/>
    <w:rsid w:val="00F14AF0"/>
    <w:rsid w:val="00F37AB3"/>
    <w:rsid w:val="00F51241"/>
    <w:rsid w:val="00F52959"/>
    <w:rsid w:val="00F55884"/>
    <w:rsid w:val="00F85C2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A7DFF-331F-4203-A154-C57536BE8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2496</Words>
  <Characters>14232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2014-04-02T20:20:00Z</cp:lastPrinted>
  <dcterms:created xsi:type="dcterms:W3CDTF">2014-04-03T16:00:00Z</dcterms:created>
  <dcterms:modified xsi:type="dcterms:W3CDTF">2014-04-03T16:00:00Z</dcterms:modified>
</cp:coreProperties>
</file>