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5802A1">
        <w:rPr>
          <w:rFonts w:eastAsia="Calibri"/>
          <w:color w:val="000000"/>
          <w:u w:color="000000"/>
        </w:rPr>
        <w:t>100.</w:t>
      </w:r>
      <w:r w:rsidRPr="007A4E57">
        <w:rPr>
          <w:rFonts w:eastAsia="Calibri"/>
          <w:color w:val="000000"/>
          <w:u w:color="000000"/>
        </w:rPr>
        <w:tab/>
        <w:t>(A)</w:t>
      </w:r>
      <w:r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sidR="003418A1" w:rsidRPr="007A4E57">
        <w:rPr>
          <w:rFonts w:eastAsia="Calibri"/>
          <w:color w:val="000000"/>
          <w:u w:color="000000"/>
        </w:rPr>
        <w:t>(1)</w:t>
      </w:r>
      <w:r w:rsidR="003418A1" w:rsidRPr="007A4E57">
        <w:rPr>
          <w:rFonts w:eastAsia="Calibri"/>
          <w:color w:val="000000"/>
          <w:u w:color="000000"/>
        </w:rPr>
        <w:tab/>
        <w:t xml:space="preserve">Nothing in this chapter may be construed to allow electronic gambling devices or machines of any types, slot </w:t>
      </w:r>
      <w:r w:rsidR="003418A1" w:rsidRPr="007A4E57">
        <w:rPr>
          <w:rFonts w:eastAsia="Calibri"/>
          <w:color w:val="000000"/>
          <w:u w:color="000000"/>
        </w:rPr>
        <w:lastRenderedPageBreak/>
        <w:t>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110.</w:t>
      </w:r>
      <w:r w:rsidRPr="007A4E57">
        <w:rPr>
          <w:rFonts w:eastAsia="Calibri"/>
          <w:color w:val="000000"/>
          <w:u w:color="000000"/>
        </w:rPr>
        <w:tab/>
      </w:r>
      <w:r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state income taxation pursuant to Internal Revenue Code Section 501(c)(3), 501(c)(4), 501(c)(6), 501(c)(7), 501(c)(8), 501(c)(10), </w:t>
      </w:r>
      <w:r w:rsidRPr="007A4E57">
        <w:rPr>
          <w:rFonts w:eastAsia="Calibri"/>
          <w:color w:val="000000"/>
          <w:u w:color="000000"/>
        </w:rPr>
        <w:lastRenderedPageBreak/>
        <w:t xml:space="preserve">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7601DC">
        <w:rPr>
          <w:rFonts w:eastAsia="Calibri"/>
          <w:color w:val="000000"/>
          <w:u w:color="000000"/>
        </w:rPr>
        <w:t>120.</w:t>
      </w:r>
      <w:r w:rsidRPr="007A4E57">
        <w:rPr>
          <w:rFonts w:eastAsia="Calibri"/>
          <w:color w:val="000000"/>
          <w:u w:color="000000"/>
        </w:rPr>
        <w:tab/>
        <w:t>(A)</w:t>
      </w:r>
      <w:r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501(c)(8), 501(c)(10), 501(c)(19), or 501(d), or is an educational institution, as defined in Chapter 56, Title 33; and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 xml:space="preserve">The requirement to register for the purpose of conducting raffles with the secretary shall apply to any and all nonprofit organizations that intend to conduct a raffle in this State, including those organizations that are exempt from or not required to follow the registration requirements of Chapter 56,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An exemption from registration for the purpose of conducting raffles is authorized for raffles conducted by a nonprofit organization where a non</w:t>
      </w:r>
      <w:r w:rsidRPr="007A4E57">
        <w:rPr>
          <w:color w:val="000000" w:themeColor="text1"/>
          <w:u w:color="000000" w:themeColor="text1"/>
        </w:rPr>
        <w:noBreakHyphen/>
      </w:r>
      <w:r w:rsidRPr="007A4E57">
        <w:rPr>
          <w:rFonts w:eastAsia="Calibri"/>
          <w:color w:val="000000"/>
          <w:u w:color="000000"/>
        </w:rPr>
        <w:t>cash prize is donated for the nonprofit raffle and the total value of the prize or prizes offered for a raffle event is not more than nine hundred fifty dollars and for fifty</w:t>
      </w:r>
      <w:r w:rsidRPr="007A4E57">
        <w:rPr>
          <w:color w:val="000000" w:themeColor="text1"/>
          <w:u w:color="000000" w:themeColor="text1"/>
        </w:rPr>
        <w:noBreakHyphen/>
      </w:r>
      <w:r w:rsidRPr="007A4E57">
        <w:rPr>
          <w:rFonts w:eastAsia="Calibri"/>
          <w:color w:val="000000"/>
          <w:u w:color="000000"/>
        </w:rPr>
        <w:t>fifty raffles where the tickets are sold to members or guests of a nonprofit organization and the total value of proceeds collected is not more than nine hundred fifty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120(A) and intend to operate a raffle must submit an annual raffle form with a fee of fifty dollars to the secretary.  Proceeds from the fees shall be retained by the secretary for 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 xml:space="preserve">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w:t>
      </w:r>
      <w:r w:rsidRPr="007A4E57">
        <w:rPr>
          <w:rFonts w:eastAsia="Calibri"/>
          <w:color w:val="000000"/>
          <w:u w:color="000000"/>
        </w:rPr>
        <w:lastRenderedPageBreak/>
        <w:t>determines that the organization is in compliance with the applicable provisions of the Internal Revenue Code.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Nonprofit organizations registering with the secretary pursuant to the provisions of this chapter shall be subject to investigation and other actions by the secretary and subject to all penalties contained in Chapters 56 and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130.</w:t>
      </w:r>
      <w:r w:rsidRPr="007A4E57">
        <w:rPr>
          <w:rFonts w:eastAsia="Calibri"/>
          <w:color w:val="000000"/>
          <w:u w:color="000000"/>
        </w:rPr>
        <w:tab/>
        <w:t>(A)</w:t>
      </w:r>
      <w:r w:rsidRPr="007A4E57">
        <w:rPr>
          <w:rFonts w:eastAsia="Calibri"/>
          <w:color w:val="000000"/>
          <w:u w:color="000000"/>
        </w:rPr>
        <w:tab/>
        <w:t>A nonprofit organization is allowed to operate up to four raffles per year.  If a nonprofit organization has affiliates or subsidiaries that share a Federal Employer</w:t>
      </w:r>
      <w:r w:rsidRPr="007A4E57">
        <w:rPr>
          <w:color w:val="000000" w:themeColor="text1"/>
          <w:u w:color="000000" w:themeColor="text1"/>
        </w:rPr>
        <w:t>’</w:t>
      </w:r>
      <w:r w:rsidRPr="007A4E57">
        <w:rPr>
          <w:rFonts w:eastAsia="Calibri"/>
          <w:color w:val="000000"/>
          <w:u w:color="000000"/>
        </w:rPr>
        <w:t>s Identification Number (EIN) with a parent nonprofit organization, meet the requirements of this chapter, and are registered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7601DC">
        <w:rPr>
          <w:rFonts w:eastAsia="Calibri"/>
          <w:color w:val="000000"/>
          <w:u w:color="000000"/>
        </w:rPr>
        <w:t>140.</w:t>
      </w:r>
      <w:r w:rsidRPr="007A4E57">
        <w:rPr>
          <w:rFonts w:eastAsia="Calibri"/>
          <w:color w:val="000000"/>
          <w:u w:color="000000"/>
        </w:rPr>
        <w:tab/>
        <w:t>(A)</w:t>
      </w:r>
      <w:r w:rsidRPr="007A4E57">
        <w:rPr>
          <w:rFonts w:eastAsia="Calibri"/>
          <w:color w:val="000000"/>
          <w:u w:color="000000"/>
        </w:rPr>
        <w:tab/>
        <w:t>Except for fifty</w:t>
      </w:r>
      <w:r w:rsidRPr="007A4E57">
        <w:rPr>
          <w:color w:val="000000" w:themeColor="text1"/>
          <w:u w:color="000000" w:themeColor="text1"/>
        </w:rPr>
        <w:noBreakHyphen/>
      </w:r>
      <w:r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No receipts of a raffle shall be used for any expenditure or activity which would subject an organization exempt from taxation 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w:t>
      </w:r>
      <w:r w:rsidR="003418A1" w:rsidRPr="007A4E57">
        <w:rPr>
          <w:rFonts w:eastAsia="Calibri"/>
          <w:color w:val="000000"/>
          <w:u w:color="000000"/>
        </w:rPr>
        <w:lastRenderedPageBreak/>
        <w:t xml:space="preserve">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003418A1" w:rsidRPr="007A4E57">
        <w:rPr>
          <w:rFonts w:eastAsia="Calibri"/>
          <w:color w:val="000000"/>
          <w:u w:color="000000"/>
        </w:rPr>
        <w:t>Except as otherwise provided in this chapter, no member, director, officer, employee, or agent of a nonprofit organization, a member of their family of any of those persons, or an entity in 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w:t>
      </w:r>
      <w:r w:rsidRPr="007A4E57">
        <w:rPr>
          <w:rFonts w:eastAsia="Calibri"/>
          <w:color w:val="000000"/>
          <w:u w:color="000000"/>
        </w:rPr>
        <w:lastRenderedPageBreak/>
        <w:t xml:space="preserve">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(K)</w:t>
      </w:r>
      <w:r w:rsidRPr="007A4E57">
        <w:rPr>
          <w:rFonts w:eastAsia="Calibri"/>
          <w:color w:val="000000"/>
          <w:u w:color="000000"/>
        </w:rPr>
        <w:tab/>
        <w:t>The provisions of this chapter are not intended and shall not be construed to allow the play of raffles through any electronic device or machine.  The operation of raffles excludes electronic gambling machines or devices, slot machines, or video poker games.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150.</w:t>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each item of an expenditure made or to be made, with a detailed description of the merchandise purchased or the services 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Pr="007A4E57">
        <w:rPr>
          <w:rFonts w:eastAsia="Calibri"/>
          <w:color w:val="000000"/>
          <w:u w:color="000000"/>
        </w:rPr>
        <w:tab/>
        <w:t>(A)</w:t>
      </w:r>
      <w:r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Pr="007A4E57">
        <w:rPr>
          <w:rFonts w:eastAsia="Calibri"/>
          <w:color w:val="000000"/>
          <w:u w:color="000000"/>
        </w:rPr>
        <w:tab/>
        <w:t>(A)</w:t>
      </w:r>
      <w:r w:rsidRPr="007A4E57">
        <w:rPr>
          <w:rFonts w:eastAsia="Calibri"/>
          <w:color w:val="000000"/>
          <w:u w:color="000000"/>
        </w:rPr>
        <w:tab/>
        <w:t xml:space="preserve">A person or organization that knowingly and willfully conducts a nonprofit raffle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 xml:space="preserve">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w:t>
      </w:r>
      <w:r w:rsidRPr="007A4E57">
        <w:rPr>
          <w:rFonts w:eastAsia="Calibri"/>
          <w:color w:val="000000"/>
          <w:u w:color="000000"/>
        </w:rPr>
        <w:lastRenderedPageBreak/>
        <w:t>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Pr="007A4E57">
        <w:rPr>
          <w:rFonts w:eastAsia="Calibri"/>
          <w:color w:val="000000"/>
          <w:u w:color="000000"/>
        </w:rPr>
        <w:tab/>
        <w:t>The Secretary of State may promulgate regulations to administer and enforce the provisions of this chapter.</w:t>
      </w:r>
      <w:r w:rsidRPr="007A4E57">
        <w:rPr>
          <w:color w:val="000000" w:themeColor="text1"/>
          <w:u w:color="000000" w:themeColor="text1"/>
        </w:rPr>
        <w: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2.</w:t>
      </w:r>
      <w:r w:rsidRPr="007A4E57">
        <w:rPr>
          <w:rFonts w:eastAsia="Calibri"/>
          <w:color w:val="000000"/>
          <w:u w:color="000000"/>
        </w:rPr>
        <w:tab/>
        <w:t>Nothing in the provisions of this act, including the allowance of qualified nonprofit organizations to conduct some raffles by the use of limited types of non</w:t>
      </w:r>
      <w:r w:rsidRPr="007A4E57">
        <w:rPr>
          <w:color w:val="000000" w:themeColor="text1"/>
          <w:u w:color="000000" w:themeColor="text1"/>
        </w:rPr>
        <w:noBreakHyphen/>
      </w:r>
      <w:r w:rsidRPr="007A4E57">
        <w:rPr>
          <w:rFonts w:eastAsia="Calibri"/>
          <w:color w:val="000000"/>
          <w:u w:color="000000"/>
        </w:rPr>
        <w:t xml:space="preserve">electronic casino games, shall alter or amend the terms of </w:t>
      </w:r>
      <w:r w:rsidRPr="007A4E57">
        <w:rPr>
          <w:color w:val="000000" w:themeColor="text1"/>
          <w:u w:color="000000" w:themeColor="text1"/>
        </w:rPr>
        <w:t>“</w:t>
      </w:r>
      <w:r w:rsidRPr="007A4E57">
        <w:rPr>
          <w:rFonts w:eastAsia="Calibri"/>
          <w:color w:val="000000"/>
          <w:u w:color="000000"/>
        </w:rPr>
        <w:t>The Catawba Indian Claims Settlement Agreement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as referenced in S.C. Code Ann. Sections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10 through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 xml:space="preserve">140 (2010) and in 25 U.S.C. Sections 941 through 941n (2010), or the holding of the South Carolina Supreme Court in </w:t>
      </w:r>
      <w:r w:rsidRPr="007A4E57">
        <w:rPr>
          <w:rFonts w:eastAsia="Calibri"/>
          <w:color w:val="000000"/>
          <w:u w:val="single" w:color="000000"/>
        </w:rPr>
        <w:t>Catawba Indian Tribe of South Carolina v. State of South Carolina</w:t>
      </w:r>
      <w:r w:rsidRPr="007A4E57">
        <w:rPr>
          <w:rFonts w:eastAsia="Calibri"/>
          <w:color w:val="000000"/>
          <w:u w:color="000000"/>
        </w:rPr>
        <w:t xml:space="preserve">, 372 S.C. 519, 642 S.E.2d 751 (2007), so as to allow an Indian Tribe or any other group of individuals to operate or conduct casino games unless conducted or operated only by a qualified </w:t>
      </w:r>
      <w:r w:rsidRPr="007A4E57">
        <w:rPr>
          <w:rFonts w:eastAsia="Calibri"/>
          <w:color w:val="000000"/>
          <w:u w:color="000000"/>
        </w:rPr>
        <w:lastRenderedPageBreak/>
        <w:t xml:space="preserve">nonprofit organization solely pursuant to the terms of Chapter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E57">
        <w:rPr>
          <w:rFonts w:eastAsia="Calibri"/>
          <w:color w:val="000000"/>
          <w:u w:color="000000"/>
        </w:rPr>
        <w:t>SECTION</w:t>
      </w:r>
      <w:r w:rsidRPr="007A4E57">
        <w:rPr>
          <w:rFonts w:eastAsia="Calibri"/>
          <w:color w:val="000000"/>
          <w:u w:color="000000"/>
        </w:rPr>
        <w:tab/>
        <w:t>5.</w:t>
      </w:r>
      <w:r w:rsidRPr="007A4E57">
        <w:rPr>
          <w:rFonts w:eastAsia="Calibri"/>
          <w:color w:val="000000"/>
          <w:u w:color="000000"/>
        </w:rPr>
        <w:tab/>
        <w:t>The provisions of this act become effective thirty days after ratification of an amendment to Section 7, Article XVII of the Constitution of this State allowing its terms as proposed to the qualified electors of this State at the 2014 General Election, and the provisions of this act are repealed five years from the effective date unless further authorized by the General Assembly.</w:t>
      </w:r>
    </w:p>
    <w:p w:rsidR="00B75D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B75D09">
      <w:pPr>
        <w:suppressAutoHyphens/>
        <w:jc w:val="both"/>
        <w:rPr>
          <w:rFonts w:eastAsia="Times New Roman"/>
        </w:rPr>
      </w:pPr>
    </w:p>
    <w:sectPr w:rsidR="00B75D09" w:rsidSect="00B75D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A1D" w:rsidRDefault="001B5A1D" w:rsidP="00522CE0">
      <w:r>
        <w:separator/>
      </w:r>
    </w:p>
  </w:endnote>
  <w:endnote w:type="continuationSeparator" w:id="0">
    <w:p w:rsidR="001B5A1D" w:rsidRDefault="001B5A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738DA4-AF79-4176-B6FB-FA5B1BFF3246}"/>
    <w:embedBold r:id="rId2" w:fontKey="{DC91C1B9-DD70-4FF8-AC13-9D4802A8C7D0}"/>
  </w:font>
  <w:font w:name="Calibri">
    <w:panose1 w:val="020F0502020204030204"/>
    <w:charset w:val="00"/>
    <w:family w:val="swiss"/>
    <w:pitch w:val="variable"/>
    <w:sig w:usb0="E10002FF" w:usb1="4000ACFF" w:usb2="00000009" w:usb3="00000000" w:csb0="0000019F" w:csb1="00000000"/>
    <w:embedRegular r:id="rId3" w:fontKey="{26F7A532-0A08-4C45-8A1A-66B13878C157}"/>
  </w:font>
  <w:font w:name="Cambria">
    <w:panose1 w:val="02040503050406030204"/>
    <w:charset w:val="00"/>
    <w:family w:val="roman"/>
    <w:pitch w:val="variable"/>
    <w:sig w:usb0="E00002FF" w:usb1="400004FF" w:usb2="00000000" w:usb3="00000000" w:csb0="0000019F" w:csb1="00000000"/>
    <w:embedRegular r:id="rId4" w:fontKey="{ED746302-FF7A-4D6D-A7D5-EB502BB573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D06" w:rsidRPr="00B75D09" w:rsidRDefault="00B75D09" w:rsidP="00B75D09">
    <w:pPr>
      <w:pStyle w:val="Footer"/>
      <w:tabs>
        <w:tab w:val="clear" w:pos="4680"/>
        <w:tab w:val="clear" w:pos="9360"/>
        <w:tab w:val="center" w:pos="2995"/>
      </w:tabs>
      <w:spacing w:before="120"/>
    </w:pPr>
    <w:r>
      <w:t>[213]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A1D" w:rsidRDefault="001B5A1D" w:rsidP="00522CE0">
      <w:r>
        <w:separator/>
      </w:r>
    </w:p>
  </w:footnote>
  <w:footnote w:type="continuationSeparator" w:id="0">
    <w:p w:rsidR="001B5A1D" w:rsidRDefault="001B5A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42AC1"/>
    <w:rsid w:val="00046516"/>
    <w:rsid w:val="000A4D08"/>
    <w:rsid w:val="000A6988"/>
    <w:rsid w:val="000B0720"/>
    <w:rsid w:val="000B5EAF"/>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D3BAC"/>
    <w:rsid w:val="00206D3D"/>
    <w:rsid w:val="0024519E"/>
    <w:rsid w:val="00245C4E"/>
    <w:rsid w:val="002C00AC"/>
    <w:rsid w:val="002C5896"/>
    <w:rsid w:val="00307C2B"/>
    <w:rsid w:val="0031409E"/>
    <w:rsid w:val="0032109A"/>
    <w:rsid w:val="00333DF1"/>
    <w:rsid w:val="0033541C"/>
    <w:rsid w:val="003418A1"/>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20D40"/>
    <w:rsid w:val="007318D4"/>
    <w:rsid w:val="00746551"/>
    <w:rsid w:val="007601DC"/>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A02011"/>
    <w:rsid w:val="00A35165"/>
    <w:rsid w:val="00A4011E"/>
    <w:rsid w:val="00A41565"/>
    <w:rsid w:val="00A86015"/>
    <w:rsid w:val="00AE2DA8"/>
    <w:rsid w:val="00AE59C8"/>
    <w:rsid w:val="00B030B6"/>
    <w:rsid w:val="00B10098"/>
    <w:rsid w:val="00B10E10"/>
    <w:rsid w:val="00B35389"/>
    <w:rsid w:val="00B450FF"/>
    <w:rsid w:val="00B47304"/>
    <w:rsid w:val="00B66C95"/>
    <w:rsid w:val="00B67A46"/>
    <w:rsid w:val="00B75D09"/>
    <w:rsid w:val="00B945C5"/>
    <w:rsid w:val="00BA20EA"/>
    <w:rsid w:val="00BC0A56"/>
    <w:rsid w:val="00BF1563"/>
    <w:rsid w:val="00C23348"/>
    <w:rsid w:val="00C6454A"/>
    <w:rsid w:val="00C74052"/>
    <w:rsid w:val="00CB187A"/>
    <w:rsid w:val="00CD7C71"/>
    <w:rsid w:val="00D1088B"/>
    <w:rsid w:val="00D156D2"/>
    <w:rsid w:val="00D77EC0"/>
    <w:rsid w:val="00D86943"/>
    <w:rsid w:val="00DA47B9"/>
    <w:rsid w:val="00E11240"/>
    <w:rsid w:val="00E45C68"/>
    <w:rsid w:val="00E677A1"/>
    <w:rsid w:val="00E91E2F"/>
    <w:rsid w:val="00EA3546"/>
    <w:rsid w:val="00EB1AAC"/>
    <w:rsid w:val="00EB47AE"/>
    <w:rsid w:val="00EC34E1"/>
    <w:rsid w:val="00ED0AE1"/>
    <w:rsid w:val="00EF6EF8"/>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5FD69-5291-4D56-890E-5905BF2AF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4219</Words>
  <Characters>24052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2013-01-04T19:47:00Z</cp:lastPrinted>
  <dcterms:created xsi:type="dcterms:W3CDTF">2013-01-10T16:53:00Z</dcterms:created>
  <dcterms:modified xsi:type="dcterms:W3CDTF">2013-01-10T16:53:00Z</dcterms:modified>
</cp:coreProperties>
</file>