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5BA" w:rsidRDefault="003C35BA" w:rsidP="002A3EB4">
      <w:pPr>
        <w:pStyle w:val="BillDots"/>
      </w:pPr>
      <w:r>
        <w:rPr>
          <w:strike/>
        </w:rPr>
        <w:t>Indicates Matter Stricken</w:t>
      </w:r>
    </w:p>
    <w:p w:rsidR="003C35BA" w:rsidRPr="003C35BA" w:rsidRDefault="003C35BA" w:rsidP="002A3EB4">
      <w:pPr>
        <w:pStyle w:val="BillDots"/>
      </w:pPr>
      <w:r>
        <w:rPr>
          <w:u w:val="single"/>
        </w:rPr>
        <w:t>Indicates New Matter</w:t>
      </w:r>
    </w:p>
    <w:p w:rsidR="003C35BA" w:rsidRDefault="003C35BA" w:rsidP="002A3EB4">
      <w:pPr>
        <w:pStyle w:val="BillDots"/>
      </w:pPr>
    </w:p>
    <w:p w:rsidR="003C35BA" w:rsidRDefault="003C35BA" w:rsidP="002A3EB4">
      <w:pPr>
        <w:pStyle w:val="BillDots"/>
      </w:pPr>
      <w:r>
        <w:t>COMMITTEE REPORT</w:t>
      </w:r>
    </w:p>
    <w:p w:rsidR="003C35BA" w:rsidRDefault="003C35BA" w:rsidP="002A3EB4">
      <w:pPr>
        <w:pStyle w:val="BillDots"/>
      </w:pPr>
      <w:r>
        <w:t>February 20, 2013</w:t>
      </w:r>
    </w:p>
    <w:p w:rsidR="003C35BA" w:rsidRDefault="003C35BA" w:rsidP="002A3EB4">
      <w:pPr>
        <w:pStyle w:val="BillDots"/>
      </w:pPr>
    </w:p>
    <w:p w:rsidR="003C35BA" w:rsidRPr="003C35BA" w:rsidRDefault="003C35BA" w:rsidP="003C35BA">
      <w:pPr>
        <w:pStyle w:val="BillDots"/>
        <w:tabs>
          <w:tab w:val="clear" w:pos="216"/>
          <w:tab w:val="clear" w:pos="432"/>
          <w:tab w:val="clear" w:pos="648"/>
          <w:tab w:val="clear" w:pos="864"/>
          <w:tab w:val="clear" w:pos="1080"/>
          <w:tab w:val="clear" w:pos="1296"/>
          <w:tab w:val="clear" w:pos="5904"/>
          <w:tab w:val="right" w:pos="5933"/>
        </w:tabs>
      </w:pPr>
      <w:r>
        <w:tab/>
      </w:r>
      <w:r>
        <w:rPr>
          <w:b/>
          <w:sz w:val="36"/>
        </w:rPr>
        <w:t>S. 221</w:t>
      </w:r>
    </w:p>
    <w:p w:rsidR="003C35BA" w:rsidRDefault="003C35BA" w:rsidP="002A3EB4">
      <w:pPr>
        <w:pStyle w:val="BillDots"/>
      </w:pPr>
    </w:p>
    <w:p w:rsidR="003C35BA" w:rsidRDefault="003C35BA" w:rsidP="003C35BA">
      <w:pPr>
        <w:pStyle w:val="BillDots"/>
        <w:jc w:val="center"/>
      </w:pPr>
      <w:r>
        <w:t xml:space="preserve">Introduced by </w:t>
      </w:r>
      <w:r w:rsidRPr="002227DD">
        <w:t>Senator Hayes</w:t>
      </w:r>
    </w:p>
    <w:p w:rsidR="003C35BA" w:rsidRDefault="003C35BA" w:rsidP="002A3EB4">
      <w:pPr>
        <w:pStyle w:val="BillDots"/>
      </w:pPr>
    </w:p>
    <w:p w:rsidR="003C35BA" w:rsidRDefault="003C35BA" w:rsidP="002A3EB4">
      <w:pPr>
        <w:pStyle w:val="BillDots"/>
      </w:pPr>
      <w:r>
        <w:t>S. Printed 2/20/13--S.</w:t>
      </w:r>
    </w:p>
    <w:p w:rsidR="003C35BA" w:rsidRDefault="003C35BA" w:rsidP="002A3EB4">
      <w:pPr>
        <w:pStyle w:val="BillDots"/>
      </w:pPr>
      <w:r>
        <w:t>Read the first time January 15, 2013.</w:t>
      </w:r>
    </w:p>
    <w:p w:rsidR="003C35BA" w:rsidRPr="003C35BA" w:rsidRDefault="003C35BA" w:rsidP="003C35BA">
      <w:pPr>
        <w:pStyle w:val="BillDots"/>
        <w:jc w:val="center"/>
      </w:pPr>
      <w:r>
        <w:rPr>
          <w:u w:val="single"/>
        </w:rPr>
        <w:t>            </w:t>
      </w:r>
    </w:p>
    <w:p w:rsidR="003C35BA" w:rsidRDefault="003C35BA" w:rsidP="002A3EB4">
      <w:pPr>
        <w:pStyle w:val="BillDots"/>
      </w:pPr>
    </w:p>
    <w:p w:rsidR="003C35BA" w:rsidRPr="003C35BA" w:rsidRDefault="003C35BA" w:rsidP="003C35BA">
      <w:pPr>
        <w:pStyle w:val="BillDots"/>
        <w:jc w:val="center"/>
      </w:pPr>
      <w:r>
        <w:rPr>
          <w:b/>
        </w:rPr>
        <w:t>THE COMMITTEE ON JUDICIARY</w:t>
      </w:r>
    </w:p>
    <w:p w:rsidR="003C35BA" w:rsidRDefault="003C35BA" w:rsidP="002A3EB4">
      <w:pPr>
        <w:pStyle w:val="BillDots"/>
      </w:pPr>
      <w:r>
        <w:tab/>
        <w:t>To whom was referred a Bill (S. 221) to amend Section 36</w:t>
      </w:r>
      <w:r>
        <w:noBreakHyphen/>
        <w:t>4a</w:t>
      </w:r>
      <w:r>
        <w:noBreakHyphen/>
        <w:t>108, Code of Laws of South Carolina, 1976, relating to Commercial Code</w:t>
      </w:r>
      <w:r>
        <w:noBreakHyphen/>
        <w:t>funds transfers, so as to make the Chapter applicable, etc., respectfully</w:t>
      </w:r>
    </w:p>
    <w:p w:rsidR="003C35BA" w:rsidRPr="003C35BA" w:rsidRDefault="003C35BA" w:rsidP="003C35BA">
      <w:pPr>
        <w:pStyle w:val="BillDots"/>
        <w:jc w:val="center"/>
      </w:pPr>
      <w:r>
        <w:rPr>
          <w:b/>
        </w:rPr>
        <w:t>REPORT:</w:t>
      </w:r>
    </w:p>
    <w:p w:rsidR="003C35BA" w:rsidRDefault="003C35BA" w:rsidP="002A3EB4">
      <w:pPr>
        <w:pStyle w:val="BillDots"/>
      </w:pPr>
      <w:r>
        <w:tab/>
        <w:t>That they have duly and carefully considered the same and recommend that the same do pass:</w:t>
      </w:r>
    </w:p>
    <w:p w:rsidR="003C35BA" w:rsidRDefault="003C35BA" w:rsidP="002A3EB4">
      <w:pPr>
        <w:pStyle w:val="BillDots"/>
      </w:pPr>
    </w:p>
    <w:p w:rsidR="003C35BA" w:rsidRDefault="003C35BA" w:rsidP="002A3EB4">
      <w:pPr>
        <w:pStyle w:val="BillDots"/>
      </w:pPr>
      <w:r>
        <w:t>CHAUNCEY K. GREGORY for Committee.</w:t>
      </w:r>
    </w:p>
    <w:p w:rsidR="003C35BA" w:rsidRPr="003C35BA" w:rsidRDefault="003C35BA" w:rsidP="003C35BA">
      <w:pPr>
        <w:pStyle w:val="BillDots"/>
        <w:jc w:val="center"/>
      </w:pPr>
      <w:r>
        <w:rPr>
          <w:u w:val="single"/>
        </w:rPr>
        <w:t>            </w:t>
      </w:r>
    </w:p>
    <w:p w:rsidR="003C35BA" w:rsidRDefault="003C35BA" w:rsidP="002A3EB4">
      <w:pPr>
        <w:pStyle w:val="BillDots"/>
      </w:pPr>
    </w:p>
    <w:p w:rsidR="003C35BA" w:rsidRPr="003C35BA" w:rsidRDefault="003C35BA" w:rsidP="003C35BA">
      <w:pPr>
        <w:pStyle w:val="BillDots"/>
        <w:jc w:val="center"/>
      </w:pPr>
      <w:r>
        <w:rPr>
          <w:b/>
          <w:u w:val="single"/>
        </w:rPr>
        <w:t>STATEMENT OF ESTIMATED FISCAL IMPACT</w:t>
      </w:r>
    </w:p>
    <w:p w:rsidR="003C35BA" w:rsidRPr="005951EB" w:rsidRDefault="003C35BA" w:rsidP="003C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51EB">
        <w:rPr>
          <w:szCs w:val="22"/>
        </w:rPr>
        <w:t>ESTIMATED FISCAL IMPACT ON GENERAL FUND EXPENDITURES:</w:t>
      </w:r>
    </w:p>
    <w:p w:rsidR="003C35BA" w:rsidRPr="005951EB" w:rsidRDefault="003C35BA" w:rsidP="003C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951EB">
        <w:rPr>
          <w:szCs w:val="22"/>
        </w:rPr>
        <w:t>$0 (No additional expenditures or savings are expected)</w:t>
      </w:r>
    </w:p>
    <w:p w:rsidR="003C35BA" w:rsidRPr="005951EB" w:rsidRDefault="003C35BA" w:rsidP="003C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51EB">
        <w:rPr>
          <w:szCs w:val="22"/>
        </w:rPr>
        <w:t>ESTIMATED FISCAL IMPACT ON FEDERAL &amp; OTHER FUND EXPENDITURES:</w:t>
      </w:r>
    </w:p>
    <w:p w:rsidR="003C35BA" w:rsidRPr="005951EB" w:rsidRDefault="003C35BA" w:rsidP="003C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5951EB">
        <w:rPr>
          <w:szCs w:val="22"/>
        </w:rPr>
        <w:t>$0 (No additional expenditures or savings are expected)</w:t>
      </w:r>
    </w:p>
    <w:p w:rsidR="003C35BA" w:rsidRPr="005951EB" w:rsidRDefault="003C35BA" w:rsidP="003C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51EB">
        <w:rPr>
          <w:b/>
          <w:szCs w:val="22"/>
        </w:rPr>
        <w:t>EXPLANATION OF IMPACT:</w:t>
      </w:r>
    </w:p>
    <w:p w:rsidR="003C35BA" w:rsidRPr="005951EB" w:rsidRDefault="003C35BA" w:rsidP="003C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951EB">
        <w:rPr>
          <w:szCs w:val="22"/>
        </w:rPr>
        <w:t xml:space="preserve">The Board of Financial Institutions and the State Treasurer’s Office each indicate there would be no fiscal impact on the General Fund of the State.  </w:t>
      </w:r>
    </w:p>
    <w:p w:rsidR="003C35BA" w:rsidRDefault="003C35BA" w:rsidP="002A3EB4">
      <w:pPr>
        <w:pStyle w:val="BillDots"/>
      </w:pPr>
    </w:p>
    <w:p w:rsidR="003C35BA" w:rsidRDefault="003C35BA" w:rsidP="003C35B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C35BA" w:rsidRDefault="003C35BA" w:rsidP="003C35BA">
      <w:pPr>
        <w:pStyle w:val="BillDots"/>
        <w:tabs>
          <w:tab w:val="clear" w:pos="216"/>
          <w:tab w:val="clear" w:pos="432"/>
          <w:tab w:val="clear" w:pos="648"/>
          <w:tab w:val="clear" w:pos="864"/>
          <w:tab w:val="clear" w:pos="1080"/>
          <w:tab w:val="clear" w:pos="1296"/>
          <w:tab w:val="clear" w:pos="5904"/>
          <w:tab w:val="left" w:pos="3024"/>
        </w:tabs>
      </w:pPr>
      <w:r>
        <w:tab/>
        <w:t>Brenda Hart</w:t>
      </w:r>
    </w:p>
    <w:p w:rsidR="003C35BA" w:rsidRPr="003C35BA" w:rsidRDefault="003C35BA" w:rsidP="003C35B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C35BA" w:rsidRDefault="003C35BA" w:rsidP="002A3EB4">
      <w:pPr>
        <w:pStyle w:val="BillDots"/>
      </w:pPr>
    </w:p>
    <w:p w:rsidR="003C35BA" w:rsidRDefault="003C35BA" w:rsidP="002A3EB4">
      <w:pPr>
        <w:pStyle w:val="BillDots"/>
        <w:sectPr w:rsidR="003C35BA" w:rsidSect="003C35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1703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Start w:id="6" w:name="titleend"/>
      <w:bookmarkEnd w:id="5"/>
      <w:bookmarkEnd w:id="6"/>
      <w:r w:rsidRPr="00C9709E">
        <w:t xml:space="preserve">TO AMEND SECTION </w:t>
      </w:r>
      <w:r>
        <w:t>36</w:t>
      </w:r>
      <w:r w:rsidR="00001933">
        <w:noBreakHyphen/>
      </w:r>
      <w:r>
        <w:t>4A</w:t>
      </w:r>
      <w:r w:rsidR="00001933">
        <w:noBreakHyphen/>
      </w:r>
      <w:r>
        <w:t>10</w:t>
      </w:r>
      <w:r w:rsidR="000E63A3">
        <w:t>8</w:t>
      </w:r>
      <w:r>
        <w:t>,</w:t>
      </w:r>
      <w:r w:rsidRPr="004E13F0">
        <w:t xml:space="preserve"> </w:t>
      </w:r>
      <w:r w:rsidRPr="00C9709E">
        <w:t xml:space="preserve">CODE OF LAWS OF SOUTH CAROLINA, 1976, RELATING TO </w:t>
      </w:r>
      <w:r>
        <w:t>COMMERCIAL CODE</w:t>
      </w:r>
      <w:r w:rsidR="00001933">
        <w:noBreakHyphen/>
      </w:r>
      <w:r>
        <w:t>FUNDS TRANSFERS, SO AS TO MAKE THE CHAPTER APPLICABLE TO REMITTANCE TRANSFERS, UNLESS THE REMITTANCE TRANSFER IS AN ELECTRONIC FUND TRANSFER, AND TO PROVIDE THAT, IN THE EVENT THERE IS AN INCONSISTENCY BETWEEN THE APPLICABLE PROVISION OF THE CHAPTER AND THE APPLICABLE PROVISION OF THE ELECTRONIC FUND TRANSFER ACT, THE PROVISION OF THE ELECTRONIC FUND TRANSFER ACT GOVERNS.</w:t>
      </w:r>
    </w:p>
    <w:p w:rsidR="001703E2" w:rsidRDefault="00170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3E2" w:rsidRDefault="00170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3E2" w:rsidRDefault="00170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Default="009D42E1" w:rsidP="000E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36</w:t>
      </w:r>
      <w:r w:rsidR="00001933">
        <w:noBreakHyphen/>
      </w:r>
      <w:r>
        <w:t>4A</w:t>
      </w:r>
      <w:r w:rsidR="00001933">
        <w:noBreakHyphen/>
      </w:r>
      <w:r>
        <w:t>108 of the 1976 Code is amended to read:</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36</w:t>
      </w:r>
      <w:r w:rsidR="00001933">
        <w:noBreakHyphen/>
      </w:r>
      <w:r>
        <w:t>4A</w:t>
      </w:r>
      <w:r w:rsidR="00001933">
        <w:noBreakHyphen/>
      </w:r>
      <w:r>
        <w:t>108.</w:t>
      </w:r>
      <w:r w:rsidRPr="00403245">
        <w:tab/>
      </w:r>
      <w:r>
        <w:rPr>
          <w:u w:val="single"/>
        </w:rPr>
        <w:t>(</w:t>
      </w:r>
      <w:r w:rsidR="001D47D6">
        <w:rPr>
          <w:u w:val="single"/>
        </w:rPr>
        <w:t>a</w:t>
      </w:r>
      <w:r>
        <w:rPr>
          <w:u w:val="single"/>
        </w:rPr>
        <w:t>)</w:t>
      </w:r>
      <w:r w:rsidRPr="003652F2">
        <w:tab/>
      </w:r>
      <w:r>
        <w:rPr>
          <w:u w:val="single"/>
        </w:rPr>
        <w:t>Except as provided in subsection (</w:t>
      </w:r>
      <w:r w:rsidR="001D47D6">
        <w:rPr>
          <w:u w:val="single"/>
        </w:rPr>
        <w:t>b</w:t>
      </w:r>
      <w:r>
        <w:rPr>
          <w:u w:val="single"/>
        </w:rPr>
        <w:t>),</w:t>
      </w:r>
      <w:r w:rsidRPr="00E136BC">
        <w:t xml:space="preserve"> t</w:t>
      </w:r>
      <w:r w:rsidRPr="00403245">
        <w:t>his chapter does not apply to a funds transfer any part of which is governed by the Electronic Fund Transfer Act of 1978 (Title XX, Public Law 95</w:t>
      </w:r>
      <w:r w:rsidR="00001933">
        <w:noBreakHyphen/>
      </w:r>
      <w:r w:rsidRPr="00403245">
        <w:t xml:space="preserve">630, 92 Stat. 3728, 15 U.S.C. Section 1693 et seq.) as amended from time to time. </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1D47D6">
        <w:rPr>
          <w:u w:val="single"/>
        </w:rPr>
        <w:t>b</w:t>
      </w:r>
      <w:r>
        <w:rPr>
          <w:u w:val="single"/>
        </w:rPr>
        <w:t>)</w:t>
      </w:r>
      <w:r w:rsidRPr="003652F2">
        <w:tab/>
      </w:r>
      <w:r>
        <w:rPr>
          <w:u w:val="single"/>
        </w:rPr>
        <w:t>This chapter applies to a funds transfer that is a remittance transfer as defined in the Electronic Fund Transfer Act (15 U.S.C. Sec. 1693o</w:t>
      </w:r>
      <w:r w:rsidR="00001933">
        <w:rPr>
          <w:u w:val="single"/>
        </w:rPr>
        <w:noBreakHyphen/>
      </w:r>
      <w:r>
        <w:rPr>
          <w:u w:val="single"/>
        </w:rPr>
        <w:t>l) as amended from time to time, unless the remittance transfer is an electronic fund transfer as defined in the Electronic Fund Transfer Act (15 U.S.C. Sec. 1693a) as amended from time to time.</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2F2">
        <w:tab/>
      </w:r>
      <w:r>
        <w:rPr>
          <w:u w:val="single"/>
        </w:rPr>
        <w:t>(</w:t>
      </w:r>
      <w:r w:rsidR="001D47D6">
        <w:rPr>
          <w:u w:val="single"/>
        </w:rPr>
        <w:t>c</w:t>
      </w:r>
      <w:r>
        <w:rPr>
          <w:u w:val="single"/>
        </w:rPr>
        <w:t>)</w:t>
      </w:r>
      <w:r w:rsidRPr="003652F2">
        <w:tab/>
      </w:r>
      <w:r>
        <w:rPr>
          <w:u w:val="single"/>
        </w:rPr>
        <w:t xml:space="preserve">In a funds transfer to which this chapter applies, in the event of an inconsistency between an applicable provision of this chapter and an applicable provision of the Electronic Fund </w:t>
      </w:r>
      <w:r>
        <w:rPr>
          <w:u w:val="single"/>
        </w:rPr>
        <w:lastRenderedPageBreak/>
        <w:t>Transfer Act, the provision of the Electronic Fund Transfer Act governs to the extent of the inconsistency.</w:t>
      </w:r>
      <w:r>
        <w:t>”</w:t>
      </w:r>
    </w:p>
    <w:p w:rsidR="009D42E1"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E1" w:rsidRPr="006B664B"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6B664B">
        <w:rPr>
          <w:b/>
        </w:rPr>
        <w:t>OFFICIAL COMMENT</w:t>
      </w:r>
    </w:p>
    <w:p w:rsidR="009D42E1" w:rsidRPr="00881B35"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3245">
        <w:tab/>
      </w:r>
      <w:r w:rsidRPr="00881B35">
        <w:rPr>
          <w:strike/>
        </w:rPr>
        <w:t>The Electronic Fund Transfer Act of 1978 is a federal statute that covers a wide variety of electronic funds transfers involving consumers.  The types of transfers covered by the federal statute are essentially different from the wholesale wire transfers that are the primary focus of Article 4A.  Section 4A</w:t>
      </w:r>
      <w:r w:rsidR="00001933">
        <w:rPr>
          <w:strike/>
        </w:rPr>
        <w:noBreakHyphen/>
      </w:r>
      <w:r w:rsidRPr="00881B35">
        <w:rPr>
          <w:strike/>
        </w:rPr>
        <w:t>108 excludes a funds transfer from Article 4A if any part of the transfer is covered by the federal law.  Existing procedures designed to comply with federal law will not be affected by Article 4A.  The effect of Section 4A</w:t>
      </w:r>
      <w:r w:rsidR="00001933">
        <w:rPr>
          <w:strike/>
        </w:rPr>
        <w:noBreakHyphen/>
      </w:r>
      <w:r w:rsidRPr="00881B35">
        <w:rPr>
          <w:strike/>
        </w:rPr>
        <w:t>108 is to make Article 4A and EFTA mutually exclusive.  For example, if a funds transfer is to a consumer account in the beneficiary</w:t>
      </w:r>
      <w:r w:rsidR="00001933" w:rsidRPr="00001933">
        <w:rPr>
          <w:strike/>
        </w:rPr>
        <w:t>’</w:t>
      </w:r>
      <w:r w:rsidRPr="00881B35">
        <w:rPr>
          <w:strike/>
        </w:rPr>
        <w:t>s bank and the funds transfer is made in part by use of Fedwire and in part by means of an automated clearing house, EFTA applies to the ACH part of the transfer but not to the Fedwire part.  Under Section 4A</w:t>
      </w:r>
      <w:r w:rsidR="00001933">
        <w:rPr>
          <w:strike/>
        </w:rPr>
        <w:noBreakHyphen/>
      </w:r>
      <w:r w:rsidRPr="00881B35">
        <w:rPr>
          <w:strike/>
        </w:rPr>
        <w:t>108, Article 4A does not apply to any part of the transfer.  However, in the absence of any law to govern the part of the funds transfer that is not subject to EFTA, a court might apply appropriate principles from Article 4A by analogy.</w:t>
      </w:r>
    </w:p>
    <w:p w:rsidR="009D42E1" w:rsidRPr="002A2AD6"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1.</w:t>
      </w:r>
      <w:r w:rsidRPr="009F4654">
        <w:rPr>
          <w:color w:val="000000" w:themeColor="text1"/>
          <w:u w:color="000000" w:themeColor="text1"/>
        </w:rPr>
        <w:tab/>
      </w:r>
      <w:r w:rsidRPr="009F4654">
        <w:rPr>
          <w:color w:val="000000" w:themeColor="text1"/>
          <w:u w:val="single" w:color="000000" w:themeColor="text1"/>
        </w:rPr>
        <w:t>The Electronic Fund Transfer Act (EFTA), implemented by Regulation E, 12 C.F.R. Part 1005, is a federal statute that covers aspects of electronic fund transfers involving consumers. EFTA also governs remittance transfers, defined in 15 U.S.C. Sec. 1693o</w:t>
      </w:r>
      <w:r w:rsidR="00001933">
        <w:rPr>
          <w:color w:val="000000" w:themeColor="text1"/>
          <w:u w:val="single" w:color="000000" w:themeColor="text1"/>
        </w:rPr>
        <w:noBreakHyphen/>
      </w:r>
      <w:r w:rsidRPr="009F4654">
        <w:rPr>
          <w:color w:val="000000" w:themeColor="text1"/>
          <w:u w:val="single" w:color="000000" w:themeColor="text1"/>
        </w:rPr>
        <w:t xml:space="preserve">1, which involve transfers of funds through electronic means by consumers to recipients in another country through persons or financial institutions that provide such transfers in the normal course of their business.  Not all “remittance transfers” as defined in EFTA, however, qualify as “electronic fund transfers” as defined under the EFTA, 15 U.S.C. Sec. 1693a(7). While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108(a) broadly states that </w:t>
      </w:r>
      <w:r>
        <w:rPr>
          <w:color w:val="000000" w:themeColor="text1"/>
          <w:u w:val="single" w:color="000000" w:themeColor="text1"/>
        </w:rPr>
        <w:t>Chapter</w:t>
      </w:r>
      <w:r w:rsidRPr="009F4654">
        <w:rPr>
          <w:color w:val="000000" w:themeColor="text1"/>
          <w:u w:val="single" w:color="000000" w:themeColor="text1"/>
        </w:rPr>
        <w:t xml:space="preserve"> 4A does not apply to any funds transfer that is governed in any part by EFTA, subsection (b) provides an exception. The purpose of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is to allow this </w:t>
      </w:r>
      <w:r>
        <w:rPr>
          <w:color w:val="000000" w:themeColor="text1"/>
          <w:u w:val="single" w:color="000000" w:themeColor="text1"/>
        </w:rPr>
        <w:t>chapter</w:t>
      </w:r>
      <w:r w:rsidRPr="009F4654">
        <w:rPr>
          <w:color w:val="000000" w:themeColor="text1"/>
          <w:u w:val="single" w:color="000000" w:themeColor="text1"/>
        </w:rPr>
        <w:t xml:space="preserve"> to apply to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104(a) (see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that also is a remittance transfer as defined in EFTA, so long as that remittance transfer is not an electronic fund transfer as defined in EFTA. If the resulting application of this </w:t>
      </w:r>
      <w:r>
        <w:rPr>
          <w:color w:val="000000" w:themeColor="text1"/>
          <w:u w:val="single" w:color="000000" w:themeColor="text1"/>
        </w:rPr>
        <w:t xml:space="preserve">chapter </w:t>
      </w:r>
      <w:r w:rsidRPr="009F4654">
        <w:rPr>
          <w:color w:val="000000" w:themeColor="text1"/>
          <w:u w:val="single" w:color="000000" w:themeColor="text1"/>
        </w:rPr>
        <w:t>to an EFTA</w:t>
      </w:r>
      <w:r w:rsidR="00001933">
        <w:rPr>
          <w:color w:val="000000" w:themeColor="text1"/>
          <w:u w:val="single" w:color="000000" w:themeColor="text1"/>
        </w:rPr>
        <w:noBreakHyphen/>
      </w:r>
      <w:r w:rsidRPr="009F4654">
        <w:rPr>
          <w:color w:val="000000" w:themeColor="text1"/>
          <w:u w:val="single" w:color="000000" w:themeColor="text1"/>
        </w:rPr>
        <w:t>defined “remittance transfer” that is not an EFTA</w:t>
      </w:r>
      <w:r w:rsidR="00001933">
        <w:rPr>
          <w:color w:val="000000" w:themeColor="text1"/>
          <w:u w:val="single" w:color="000000" w:themeColor="text1"/>
        </w:rPr>
        <w:noBreakHyphen/>
      </w:r>
      <w:r w:rsidRPr="009F4654">
        <w:rPr>
          <w:color w:val="000000" w:themeColor="text1"/>
          <w:u w:val="single" w:color="000000" w:themeColor="text1"/>
        </w:rPr>
        <w:t xml:space="preserve">defined “electronic fund transfer” creates an inconsistency between an </w:t>
      </w:r>
      <w:r w:rsidRPr="009F4654">
        <w:rPr>
          <w:color w:val="000000" w:themeColor="text1"/>
          <w:u w:val="single" w:color="000000" w:themeColor="text1"/>
        </w:rPr>
        <w:lastRenderedPageBreak/>
        <w:t xml:space="preserve">applicable provision of this </w:t>
      </w:r>
      <w:r>
        <w:rPr>
          <w:color w:val="000000" w:themeColor="text1"/>
          <w:u w:val="single" w:color="000000" w:themeColor="text1"/>
        </w:rPr>
        <w:t>chapter</w:t>
      </w:r>
      <w:r w:rsidRPr="009F4654">
        <w:rPr>
          <w:color w:val="000000" w:themeColor="text1"/>
          <w:u w:val="single" w:color="000000" w:themeColor="text1"/>
        </w:rPr>
        <w:t xml:space="preserve"> and an applicable provision of EFTA, as a matter of federal supremacy, the provision of EFTA governs to the extent of the inconsistency.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Of course, applicable choice of law principles or enforceable choice of law provisions in an applicable agreement will also affect whether </w:t>
      </w:r>
      <w:r>
        <w:rPr>
          <w:color w:val="000000" w:themeColor="text1"/>
          <w:u w:val="single" w:color="000000" w:themeColor="text1"/>
        </w:rPr>
        <w:t>Chapter</w:t>
      </w:r>
      <w:r w:rsidRPr="009F4654">
        <w:rPr>
          <w:color w:val="000000" w:themeColor="text1"/>
          <w:u w:val="single" w:color="000000" w:themeColor="text1"/>
        </w:rPr>
        <w:t xml:space="preserve"> 4A will apply to all or part of any funds transfer, including a remittance transfer. See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507. The following examples assume that choice of law principles or an enforceable choice of law provision will lead a court to examine the applicability of </w:t>
      </w:r>
      <w:r>
        <w:rPr>
          <w:color w:val="000000" w:themeColor="text1"/>
          <w:u w:val="single" w:color="000000" w:themeColor="text1"/>
        </w:rPr>
        <w:t>Chapter</w:t>
      </w:r>
      <w:r w:rsidRPr="009F4654">
        <w:rPr>
          <w:color w:val="000000" w:themeColor="text1"/>
          <w:u w:val="single" w:color="000000" w:themeColor="text1"/>
        </w:rPr>
        <w:t xml:space="preserve"> 4A to the funds transfer.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2.</w:t>
      </w:r>
      <w:r w:rsidRPr="009F4654">
        <w:rPr>
          <w:color w:val="000000" w:themeColor="text1"/>
          <w:u w:color="000000" w:themeColor="text1"/>
        </w:rPr>
        <w:tab/>
      </w:r>
      <w:r w:rsidRPr="009F4654">
        <w:rPr>
          <w:color w:val="000000" w:themeColor="text1"/>
          <w:u w:val="single" w:color="000000" w:themeColor="text1"/>
        </w:rPr>
        <w:t xml:space="preserve">The following examples illustrate the relationship between EFTA and this </w:t>
      </w:r>
      <w:r>
        <w:rPr>
          <w:color w:val="000000" w:themeColor="text1"/>
          <w:u w:val="single" w:color="000000" w:themeColor="text1"/>
        </w:rPr>
        <w:t>chapter</w:t>
      </w:r>
      <w:r w:rsidRPr="009F4654">
        <w:rPr>
          <w:color w:val="000000" w:themeColor="text1"/>
          <w:u w:val="single" w:color="000000" w:themeColor="text1"/>
        </w:rPr>
        <w:t xml:space="preserve"> pursuant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1.</w:t>
      </w:r>
      <w:r w:rsidRPr="009F4654">
        <w:rPr>
          <w:color w:val="000000" w:themeColor="text1"/>
          <w:u w:color="000000" w:themeColor="text1"/>
        </w:rPr>
        <w:tab/>
      </w:r>
      <w:r w:rsidRPr="009F4654">
        <w:rPr>
          <w:color w:val="000000" w:themeColor="text1"/>
          <w:u w:val="single" w:color="000000" w:themeColor="text1"/>
        </w:rPr>
        <w:t>A commercial customer of Bank A sends a payment order to Bank A, instructing Bank A to transfer funds from its account at Bank A to the account of a consumer at Bank B. The funds transfer is executed by a payment order from Bank A to an intermediary bank and is executed by the intermediary bank by means of a clearinghouse credit entry to the consumer</w:t>
      </w:r>
      <w:r w:rsidR="00001933" w:rsidRPr="00001933">
        <w:rPr>
          <w:color w:val="000000" w:themeColor="text1"/>
          <w:u w:val="single" w:color="000000" w:themeColor="text1"/>
        </w:rPr>
        <w:t>’</w:t>
      </w:r>
      <w:r w:rsidRPr="009F4654">
        <w:rPr>
          <w:color w:val="000000" w:themeColor="text1"/>
          <w:u w:val="single" w:color="000000" w:themeColor="text1"/>
        </w:rPr>
        <w:t>s account at Bank B (the beneficiary</w:t>
      </w:r>
      <w:r w:rsidR="00001933" w:rsidRPr="00001933">
        <w:rPr>
          <w:color w:val="000000" w:themeColor="text1"/>
          <w:u w:val="single" w:color="000000" w:themeColor="text1"/>
        </w:rPr>
        <w:t>’</w:t>
      </w:r>
      <w:r w:rsidRPr="009F4654">
        <w:rPr>
          <w:color w:val="000000" w:themeColor="text1"/>
          <w:u w:val="single" w:color="000000" w:themeColor="text1"/>
        </w:rPr>
        <w:t>s bank). The transfer into the consumer</w:t>
      </w:r>
      <w:r w:rsidR="00001933" w:rsidRPr="00001933">
        <w:rPr>
          <w:color w:val="000000" w:themeColor="text1"/>
          <w:u w:val="single" w:color="000000" w:themeColor="text1"/>
        </w:rPr>
        <w:t>’</w:t>
      </w:r>
      <w:r w:rsidRPr="009F4654">
        <w:rPr>
          <w:color w:val="000000" w:themeColor="text1"/>
          <w:u w:val="single" w:color="000000" w:themeColor="text1"/>
        </w:rPr>
        <w:t xml:space="preserve">s account is an electronic fund transfer as defined in 15 U.S.C. Sec. 1693a(7). Pursuant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Pr>
          <w:color w:val="000000" w:themeColor="text1"/>
          <w:u w:val="single" w:color="000000" w:themeColor="text1"/>
        </w:rPr>
        <w:t>108(a), Chapter</w:t>
      </w:r>
      <w:r w:rsidRPr="009F4654">
        <w:rPr>
          <w:color w:val="000000" w:themeColor="text1"/>
          <w:u w:val="single" w:color="000000" w:themeColor="text1"/>
        </w:rPr>
        <w:t xml:space="preserve"> 4A does not apply to any part of the funds transfer because EFTA governs part of the funds transfer. The funds transfer is not a remittance transfer as defined in 15 U.S.C. Sec. 1693o</w:t>
      </w:r>
      <w:r w:rsidR="00001933">
        <w:rPr>
          <w:color w:val="000000" w:themeColor="text1"/>
          <w:u w:val="single" w:color="000000" w:themeColor="text1"/>
        </w:rPr>
        <w:noBreakHyphen/>
      </w:r>
      <w:r w:rsidRPr="009F4654">
        <w:rPr>
          <w:color w:val="000000" w:themeColor="text1"/>
          <w:u w:val="single" w:color="000000" w:themeColor="text1"/>
        </w:rPr>
        <w:t xml:space="preserve">1 because the originator is not a consumer customer. Thus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does not apply.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 xml:space="preserve">A court might, however, apply appropriate principles from </w:t>
      </w:r>
      <w:r>
        <w:rPr>
          <w:color w:val="000000" w:themeColor="text1"/>
          <w:u w:val="single" w:color="000000" w:themeColor="text1"/>
        </w:rPr>
        <w:t>Chapter</w:t>
      </w:r>
      <w:r w:rsidRPr="009F4654">
        <w:rPr>
          <w:color w:val="000000" w:themeColor="text1"/>
          <w:u w:val="single" w:color="000000" w:themeColor="text1"/>
        </w:rPr>
        <w:t xml:space="preserve"> 4A by analogy in analyzing any part of the funds transfer that is not subject to the provisions of EFTA or other law, such as the obligation of the intermediary bank to execute the payment order of the originator</w:t>
      </w:r>
      <w:r w:rsidR="00001933" w:rsidRPr="00001933">
        <w:rPr>
          <w:color w:val="000000" w:themeColor="text1"/>
          <w:u w:val="single" w:color="000000" w:themeColor="text1"/>
        </w:rPr>
        <w:t>’</w:t>
      </w:r>
      <w:r w:rsidRPr="009F4654">
        <w:rPr>
          <w:color w:val="000000" w:themeColor="text1"/>
          <w:u w:val="single" w:color="000000" w:themeColor="text1"/>
        </w:rPr>
        <w:t xml:space="preserve">s bank.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2.</w:t>
      </w:r>
      <w:r w:rsidRPr="009F4654">
        <w:rPr>
          <w:color w:val="000000" w:themeColor="text1"/>
          <w:u w:color="000000" w:themeColor="text1"/>
        </w:rPr>
        <w:tab/>
      </w:r>
      <w:r w:rsidRPr="009F4654">
        <w:rPr>
          <w:color w:val="000000" w:themeColor="text1"/>
          <w:u w:val="single" w:color="000000" w:themeColor="text1"/>
        </w:rPr>
        <w:t>A consumer originates a payment order that is a remittance transfer as defined in 15 U.S.C. Sec. 1693o</w:t>
      </w:r>
      <w:r w:rsidR="00001933">
        <w:rPr>
          <w:color w:val="000000" w:themeColor="text1"/>
          <w:u w:val="single" w:color="000000" w:themeColor="text1"/>
        </w:rPr>
        <w:noBreakHyphen/>
      </w:r>
      <w:r w:rsidRPr="009F4654">
        <w:rPr>
          <w:color w:val="000000" w:themeColor="text1"/>
          <w:u w:val="single" w:color="000000" w:themeColor="text1"/>
        </w:rPr>
        <w:t>1 by providing the remittance transfer provider (Bank A) with cash in the amount of the transfer plus any relevant fees. The funds transfer is routed through an intermediary bank for final credit to the designated recipient</w:t>
      </w:r>
      <w:r w:rsidR="00001933" w:rsidRPr="00001933">
        <w:rPr>
          <w:color w:val="000000" w:themeColor="text1"/>
          <w:u w:val="single" w:color="000000" w:themeColor="text1"/>
        </w:rPr>
        <w:t>’</w:t>
      </w:r>
      <w:r w:rsidRPr="009F4654">
        <w:rPr>
          <w:color w:val="000000" w:themeColor="text1"/>
          <w:u w:val="single" w:color="000000" w:themeColor="text1"/>
        </w:rPr>
        <w:t>s account at Bank B. Bank A</w:t>
      </w:r>
      <w:r w:rsidR="00001933" w:rsidRPr="00001933">
        <w:rPr>
          <w:color w:val="000000" w:themeColor="text1"/>
          <w:u w:val="single" w:color="000000" w:themeColor="text1"/>
        </w:rPr>
        <w:t>’</w:t>
      </w:r>
      <w:r w:rsidRPr="009F4654">
        <w:rPr>
          <w:color w:val="000000" w:themeColor="text1"/>
          <w:u w:val="single" w:color="000000" w:themeColor="text1"/>
        </w:rPr>
        <w:t>s payment order identifies the designated recipient by both name and account number in Bank B, but the name and number provided identify different persons. This remittance transfer is not an electronic fund transfer as defined in 15 U.S.C. Sec. 1693a(7) because it is not initiated by electronic means from a consumer</w:t>
      </w:r>
      <w:r w:rsidR="00001933" w:rsidRPr="00001933">
        <w:rPr>
          <w:color w:val="000000" w:themeColor="text1"/>
          <w:u w:val="single" w:color="000000" w:themeColor="text1"/>
        </w:rPr>
        <w:t>’</w:t>
      </w:r>
      <w:r w:rsidRPr="009F4654">
        <w:rPr>
          <w:color w:val="000000" w:themeColor="text1"/>
          <w:u w:val="single" w:color="000000" w:themeColor="text1"/>
        </w:rPr>
        <w:t xml:space="preserve">s account, but does qualify as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 Both </w:t>
      </w:r>
      <w:r>
        <w:rPr>
          <w:color w:val="000000" w:themeColor="text1"/>
          <w:u w:val="single" w:color="000000" w:themeColor="text1"/>
        </w:rPr>
        <w:t>Chapter</w:t>
      </w:r>
      <w:r w:rsidRPr="009F4654">
        <w:rPr>
          <w:color w:val="000000" w:themeColor="text1"/>
          <w:u w:val="single" w:color="000000" w:themeColor="text1"/>
        </w:rPr>
        <w:t xml:space="preserve"> 4A and EFTA apply to the funds transfer. Sections </w:t>
      </w:r>
      <w:r>
        <w:rPr>
          <w:color w:val="000000" w:themeColor="text1"/>
          <w:u w:val="single" w:color="000000" w:themeColor="text1"/>
        </w:rPr>
        <w:lastRenderedPageBreak/>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108(a), (b). </w:t>
      </w:r>
      <w:r>
        <w:rPr>
          <w:color w:val="000000" w:themeColor="text1"/>
          <w:u w:val="single" w:color="000000" w:themeColor="text1"/>
        </w:rPr>
        <w:t>Chapter</w:t>
      </w:r>
      <w:r w:rsidRPr="009F4654">
        <w:rPr>
          <w:color w:val="000000" w:themeColor="text1"/>
          <w:u w:val="single" w:color="000000" w:themeColor="text1"/>
        </w:rPr>
        <w:t xml:space="preserve"> 4A</w:t>
      </w:r>
      <w:r w:rsidR="00001933" w:rsidRPr="00001933">
        <w:rPr>
          <w:color w:val="000000" w:themeColor="text1"/>
          <w:u w:val="single" w:color="000000" w:themeColor="text1"/>
        </w:rPr>
        <w:t>’</w:t>
      </w:r>
      <w:r w:rsidRPr="009F4654">
        <w:rPr>
          <w:color w:val="000000" w:themeColor="text1"/>
          <w:u w:val="single" w:color="000000" w:themeColor="text1"/>
        </w:rPr>
        <w:t xml:space="preserve">s provision on mistakes in identifying the designated beneficiary,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207, would apply as long as not inconsistent with the governing EFTA provisions.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3.</w:t>
      </w:r>
      <w:r w:rsidRPr="009F4654">
        <w:rPr>
          <w:b/>
          <w:color w:val="000000" w:themeColor="text1"/>
          <w:u w:color="000000" w:themeColor="text1"/>
        </w:rPr>
        <w:tab/>
      </w:r>
      <w:r w:rsidRPr="009F4654">
        <w:rPr>
          <w:color w:val="000000" w:themeColor="text1"/>
          <w:u w:val="single" w:color="000000" w:themeColor="text1"/>
        </w:rPr>
        <w:t>A consumer originates a payment order from the consumer</w:t>
      </w:r>
      <w:r w:rsidR="00001933" w:rsidRPr="00001933">
        <w:rPr>
          <w:color w:val="000000" w:themeColor="text1"/>
          <w:u w:val="single" w:color="000000" w:themeColor="text1"/>
        </w:rPr>
        <w:t>’</w:t>
      </w:r>
      <w:r w:rsidRPr="009F4654">
        <w:rPr>
          <w:color w:val="000000" w:themeColor="text1"/>
          <w:u w:val="single" w:color="000000" w:themeColor="text1"/>
        </w:rPr>
        <w:t>s account at Bank A to the designated recipient</w:t>
      </w:r>
      <w:r w:rsidR="00001933" w:rsidRPr="00001933">
        <w:rPr>
          <w:color w:val="000000" w:themeColor="text1"/>
          <w:u w:val="single" w:color="000000" w:themeColor="text1"/>
        </w:rPr>
        <w:t>’</w:t>
      </w:r>
      <w:r w:rsidRPr="009F4654">
        <w:rPr>
          <w:color w:val="000000" w:themeColor="text1"/>
          <w:u w:val="single" w:color="000000" w:themeColor="text1"/>
        </w:rPr>
        <w:t>s account at Bank B located outside the United States. Bank A uses the CHIPS system to execute that payment order. The funds transfer is a remittance transfer as defined in 15 U.S.C. Sec. 1693o</w:t>
      </w:r>
      <w:r w:rsidR="00001933">
        <w:rPr>
          <w:color w:val="000000" w:themeColor="text1"/>
          <w:u w:val="single" w:color="000000" w:themeColor="text1"/>
        </w:rPr>
        <w:noBreakHyphen/>
      </w:r>
      <w:r w:rsidRPr="009F4654">
        <w:rPr>
          <w:color w:val="000000" w:themeColor="text1"/>
          <w:u w:val="single" w:color="000000" w:themeColor="text1"/>
        </w:rPr>
        <w:t xml:space="preserve">1. This transfer is not an electronic fund transfer as defined in 15 U.S.C. Sec. 1693a(7) because of the exclusion for such types of transfers in 15 U.S.C. Sec. 1693a(7)(B), but qualifies as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 Under Sections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and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both </w:t>
      </w:r>
      <w:r>
        <w:rPr>
          <w:color w:val="000000" w:themeColor="text1"/>
          <w:u w:val="single" w:color="000000" w:themeColor="text1"/>
        </w:rPr>
        <w:t>Chapter</w:t>
      </w:r>
      <w:r w:rsidRPr="009F4654">
        <w:rPr>
          <w:color w:val="000000" w:themeColor="text1"/>
          <w:u w:val="single" w:color="000000" w:themeColor="text1"/>
        </w:rPr>
        <w:t xml:space="preserve"> 4A and EFTA apply to the funds transfer. The EFTA will prevail to the extent of any inconsistency between EFTA and </w:t>
      </w:r>
      <w:r>
        <w:rPr>
          <w:color w:val="000000" w:themeColor="text1"/>
          <w:u w:val="single" w:color="000000" w:themeColor="text1"/>
        </w:rPr>
        <w:t>Chapter</w:t>
      </w:r>
      <w:r w:rsidRPr="009F4654">
        <w:rPr>
          <w:color w:val="000000" w:themeColor="text1"/>
          <w:u w:val="single" w:color="000000" w:themeColor="text1"/>
        </w:rPr>
        <w:t xml:space="preserve"> 4A.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For example, suppose the consumer subsequently exercised the right to cancel the remittance transfer under the right given under EFTA and obtain a refund.  Bank A would be required to comply with the EFTA rule concerning cancellation even if </w:t>
      </w:r>
      <w:r>
        <w:rPr>
          <w:color w:val="000000" w:themeColor="text1"/>
          <w:u w:val="single" w:color="000000" w:themeColor="text1"/>
        </w:rPr>
        <w:t>Chapter</w:t>
      </w:r>
      <w:r w:rsidRPr="009F4654">
        <w:rPr>
          <w:color w:val="000000" w:themeColor="text1"/>
          <w:u w:val="single" w:color="000000" w:themeColor="text1"/>
        </w:rPr>
        <w:t xml:space="preserve"> 4A prevents Bank A from cancelling or reversing its payment order it sent to its receiving bank.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211.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4.</w:t>
      </w:r>
      <w:r w:rsidRPr="009F4654">
        <w:rPr>
          <w:b/>
          <w:color w:val="000000" w:themeColor="text1"/>
          <w:u w:color="000000" w:themeColor="text1"/>
        </w:rPr>
        <w:tab/>
      </w:r>
      <w:r w:rsidRPr="009F4654">
        <w:rPr>
          <w:color w:val="000000" w:themeColor="text1"/>
          <w:u w:val="single" w:color="000000" w:themeColor="text1"/>
        </w:rPr>
        <w:t>A person fraudulently originates an unauthorized payment order from a consumer</w:t>
      </w:r>
      <w:r w:rsidR="00001933" w:rsidRPr="00001933">
        <w:rPr>
          <w:color w:val="000000" w:themeColor="text1"/>
          <w:u w:val="single" w:color="000000" w:themeColor="text1"/>
        </w:rPr>
        <w:t>’</w:t>
      </w:r>
      <w:r w:rsidRPr="009F4654">
        <w:rPr>
          <w:color w:val="000000" w:themeColor="text1"/>
          <w:u w:val="single" w:color="000000" w:themeColor="text1"/>
        </w:rPr>
        <w:t>s account through use of an online banking interface. This transaction is an electronic fund transfer as defined in 15 U.S.C. Sec. 1693a(7) and wou</w:t>
      </w:r>
      <w:r>
        <w:rPr>
          <w:color w:val="000000" w:themeColor="text1"/>
          <w:u w:val="single" w:color="000000" w:themeColor="text1"/>
        </w:rPr>
        <w:t>ld be governed by EFTA and not Chapter</w:t>
      </w:r>
      <w:r w:rsidRPr="009F4654">
        <w:rPr>
          <w:color w:val="000000" w:themeColor="text1"/>
          <w:u w:val="single" w:color="000000" w:themeColor="text1"/>
        </w:rPr>
        <w:t xml:space="preserve"> 4A.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108(a). Whether the funds transfer also qualifies as a remittance transfer under 15 U.S.C. Sec. 1693o</w:t>
      </w:r>
      <w:r w:rsidR="00001933">
        <w:rPr>
          <w:color w:val="000000" w:themeColor="text1"/>
          <w:u w:val="single" w:color="000000" w:themeColor="text1"/>
        </w:rPr>
        <w:noBreakHyphen/>
      </w:r>
      <w:r w:rsidRPr="009F4654">
        <w:rPr>
          <w:color w:val="000000" w:themeColor="text1"/>
          <w:u w:val="single" w:color="000000" w:themeColor="text1"/>
        </w:rPr>
        <w:t xml:space="preserve">1 does not matter to the application of </w:t>
      </w:r>
      <w:r>
        <w:rPr>
          <w:color w:val="000000" w:themeColor="text1"/>
          <w:u w:val="single" w:color="000000" w:themeColor="text1"/>
        </w:rPr>
        <w:t xml:space="preserve">Chapter </w:t>
      </w:r>
      <w:r w:rsidRPr="009F4654">
        <w:rPr>
          <w:color w:val="000000" w:themeColor="text1"/>
          <w:u w:val="single" w:color="000000" w:themeColor="text1"/>
        </w:rPr>
        <w:t xml:space="preserve">4A.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b/>
          <w:color w:val="000000" w:themeColor="text1"/>
          <w:u w:color="000000" w:themeColor="text1"/>
        </w:rPr>
        <w:tab/>
      </w:r>
      <w:r w:rsidRPr="009F4654">
        <w:rPr>
          <w:b/>
          <w:color w:val="000000" w:themeColor="text1"/>
          <w:u w:val="single" w:color="000000" w:themeColor="text1"/>
        </w:rPr>
        <w:t>Example 5.</w:t>
      </w:r>
      <w:r w:rsidRPr="009F4654">
        <w:rPr>
          <w:b/>
          <w:color w:val="000000" w:themeColor="text1"/>
          <w:u w:color="000000" w:themeColor="text1"/>
        </w:rPr>
        <w:tab/>
      </w:r>
      <w:r w:rsidRPr="009F4654">
        <w:rPr>
          <w:color w:val="000000" w:themeColor="text1"/>
          <w:u w:val="single" w:color="000000" w:themeColor="text1"/>
        </w:rPr>
        <w:t>A person fraudulently originates an unauthorized payment order from a consumer</w:t>
      </w:r>
      <w:r w:rsidR="00001933" w:rsidRPr="00001933">
        <w:rPr>
          <w:color w:val="000000" w:themeColor="text1"/>
          <w:u w:val="single" w:color="000000" w:themeColor="text1"/>
        </w:rPr>
        <w:t>’</w:t>
      </w:r>
      <w:r w:rsidRPr="009F4654">
        <w:rPr>
          <w:color w:val="000000" w:themeColor="text1"/>
          <w:u w:val="single" w:color="000000" w:themeColor="text1"/>
        </w:rPr>
        <w:t>s account at Bank A through forging written documents that are provided in person to an employee of Bank A. This funds transfer is not an electronic fund transfer as defined in 15 U.S.C. Sec. 1693a(7) because the fund transfer from the consumer</w:t>
      </w:r>
      <w:r w:rsidR="00001933" w:rsidRPr="00001933">
        <w:rPr>
          <w:color w:val="000000" w:themeColor="text1"/>
          <w:u w:val="single" w:color="000000" w:themeColor="text1"/>
        </w:rPr>
        <w:t>’</w:t>
      </w:r>
      <w:r w:rsidRPr="009F4654">
        <w:rPr>
          <w:color w:val="000000" w:themeColor="text1"/>
          <w:u w:val="single" w:color="000000" w:themeColor="text1"/>
        </w:rPr>
        <w:t xml:space="preserve">s account is not initiated by electronic means, but the funds transfer qualifies as a funds transfer as defined in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104. </w:t>
      </w:r>
      <w:r>
        <w:rPr>
          <w:color w:val="000000" w:themeColor="text1"/>
          <w:u w:val="single" w:color="000000" w:themeColor="text1"/>
        </w:rPr>
        <w:t>Chapter</w:t>
      </w:r>
      <w:r w:rsidRPr="009F4654">
        <w:rPr>
          <w:color w:val="000000" w:themeColor="text1"/>
          <w:u w:val="single" w:color="000000" w:themeColor="text1"/>
        </w:rPr>
        <w:t xml:space="preserve"> 4A will apply to this funds transfer regardless of whether the funds transfer also qualifies as a remittance transfer under 15 U.S.C. Sec. 1693o</w:t>
      </w:r>
      <w:r w:rsidR="00001933">
        <w:rPr>
          <w:color w:val="000000" w:themeColor="text1"/>
          <w:u w:val="single" w:color="000000" w:themeColor="text1"/>
        </w:rPr>
        <w:noBreakHyphen/>
      </w:r>
      <w:r w:rsidRPr="009F4654">
        <w:rPr>
          <w:color w:val="000000" w:themeColor="text1"/>
          <w:u w:val="single" w:color="000000" w:themeColor="text1"/>
        </w:rPr>
        <w:t xml:space="preserve">1. If the funds transfer is not a remittance transfer, the provisions of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 are not implicated because the funds transfer does not fall under EFTA, and the general scope provision of </w:t>
      </w:r>
      <w:r>
        <w:rPr>
          <w:color w:val="000000" w:themeColor="text1"/>
          <w:u w:val="single" w:color="000000" w:themeColor="text1"/>
        </w:rPr>
        <w:t>Chapter</w:t>
      </w:r>
      <w:r w:rsidRPr="009F4654">
        <w:rPr>
          <w:color w:val="000000" w:themeColor="text1"/>
          <w:u w:val="single" w:color="000000" w:themeColor="text1"/>
        </w:rPr>
        <w:t xml:space="preserve"> 4A </w:t>
      </w:r>
      <w:r w:rsidRPr="009F4654">
        <w:rPr>
          <w:color w:val="000000" w:themeColor="text1"/>
          <w:u w:val="single" w:color="000000" w:themeColor="text1"/>
        </w:rPr>
        <w:lastRenderedPageBreak/>
        <w:t xml:space="preserve">governs.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102. If the funds transfer is a remittance transfer, and thus governed by EFTA,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108(b) provides that </w:t>
      </w:r>
      <w:r>
        <w:rPr>
          <w:color w:val="000000" w:themeColor="text1"/>
          <w:u w:val="single" w:color="000000" w:themeColor="text1"/>
        </w:rPr>
        <w:t>Chapter</w:t>
      </w:r>
      <w:r w:rsidRPr="009F4654">
        <w:rPr>
          <w:color w:val="000000" w:themeColor="text1"/>
          <w:u w:val="single" w:color="000000" w:themeColor="text1"/>
        </w:rPr>
        <w:t xml:space="preserve"> 4A also applies. The provisions of </w:t>
      </w:r>
      <w:r>
        <w:rPr>
          <w:color w:val="000000" w:themeColor="text1"/>
          <w:u w:val="single" w:color="000000" w:themeColor="text1"/>
        </w:rPr>
        <w:t xml:space="preserve">Chapter </w:t>
      </w:r>
      <w:r w:rsidRPr="009F4654">
        <w:rPr>
          <w:color w:val="000000" w:themeColor="text1"/>
          <w:u w:val="single" w:color="000000" w:themeColor="text1"/>
        </w:rPr>
        <w:t xml:space="preserve">4A will allocate the loss arising from the unauthorized payment order as long as those provisions are not inconsistent with the provisions of the EFTA applicable to remittance transfers.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108(c). </w:t>
      </w:r>
    </w:p>
    <w:p w:rsidR="009D42E1" w:rsidRPr="009F4654" w:rsidRDefault="009D42E1" w:rsidP="009D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4654">
        <w:rPr>
          <w:color w:val="000000" w:themeColor="text1"/>
          <w:u w:color="000000" w:themeColor="text1"/>
        </w:rPr>
        <w:tab/>
      </w:r>
      <w:r w:rsidRPr="009F4654">
        <w:rPr>
          <w:color w:val="000000" w:themeColor="text1"/>
          <w:u w:val="single" w:color="000000" w:themeColor="text1"/>
        </w:rPr>
        <w:t>3.</w:t>
      </w:r>
      <w:r w:rsidRPr="009F4654">
        <w:rPr>
          <w:color w:val="000000" w:themeColor="text1"/>
          <w:u w:color="000000" w:themeColor="text1"/>
        </w:rPr>
        <w:tab/>
      </w:r>
      <w:r w:rsidRPr="009F4654">
        <w:rPr>
          <w:color w:val="000000" w:themeColor="text1"/>
          <w:u w:val="single" w:color="000000" w:themeColor="text1"/>
        </w:rPr>
        <w:t xml:space="preserve">Regulation J, 12 C.F.R. Part 210, of the Federal Reserve Board addresses the application of that regulation and EFTA to fund transfers made through Fedwire. Fedwire transfers are further described in Official Comments 1 and 2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Pr="009F4654">
        <w:rPr>
          <w:color w:val="000000" w:themeColor="text1"/>
          <w:u w:val="single" w:color="000000" w:themeColor="text1"/>
        </w:rPr>
        <w:t xml:space="preserve">107. In addition, funds transfer system rules may be applicable pursuant to Section </w:t>
      </w:r>
      <w:r>
        <w:rPr>
          <w:color w:val="000000" w:themeColor="text1"/>
          <w:u w:val="single" w:color="000000" w:themeColor="text1"/>
        </w:rPr>
        <w:t>36</w:t>
      </w:r>
      <w:r w:rsidR="00001933">
        <w:rPr>
          <w:color w:val="000000" w:themeColor="text1"/>
          <w:u w:val="single" w:color="000000" w:themeColor="text1"/>
        </w:rPr>
        <w:noBreakHyphen/>
      </w:r>
      <w:r w:rsidRPr="009F4654">
        <w:rPr>
          <w:color w:val="000000" w:themeColor="text1"/>
          <w:u w:val="single" w:color="000000" w:themeColor="text1"/>
        </w:rPr>
        <w:t>4A</w:t>
      </w:r>
      <w:r w:rsidR="00001933">
        <w:rPr>
          <w:color w:val="000000" w:themeColor="text1"/>
          <w:u w:val="single" w:color="000000" w:themeColor="text1"/>
        </w:rPr>
        <w:noBreakHyphen/>
      </w:r>
      <w:r w:rsidR="000E63A3">
        <w:rPr>
          <w:color w:val="000000" w:themeColor="text1"/>
          <w:u w:val="single" w:color="000000" w:themeColor="text1"/>
        </w:rPr>
        <w:t>501.</w:t>
      </w:r>
      <w:r w:rsidR="000E63A3" w:rsidRPr="000E63A3">
        <w:rPr>
          <w:color w:val="000000" w:themeColor="text1"/>
          <w:u w:color="000000" w:themeColor="text1"/>
        </w:rPr>
        <w:t>”</w:t>
      </w:r>
    </w:p>
    <w:p w:rsidR="000E63A3" w:rsidRDefault="000E63A3" w:rsidP="000E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776B" w:rsidRDefault="009D42E1" w:rsidP="000E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E63A3">
        <w:t>2</w:t>
      </w:r>
      <w:r>
        <w:t>.</w:t>
      </w:r>
      <w:r>
        <w:tab/>
        <w:t>This act takes effect upon approval by the Governor.</w:t>
      </w:r>
    </w:p>
    <w:p w:rsidR="0017051F" w:rsidRDefault="00001933" w:rsidP="00B16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51F" w:rsidRDefault="0017051F" w:rsidP="00B8396D">
      <w:pPr>
        <w:suppressAutoHyphens/>
      </w:pPr>
    </w:p>
    <w:sectPr w:rsidR="0017051F" w:rsidSect="003C35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F5F" w:rsidRDefault="00F37F5F" w:rsidP="009F0C77">
      <w:r>
        <w:separator/>
      </w:r>
    </w:p>
  </w:endnote>
  <w:endnote w:type="continuationSeparator" w:id="0">
    <w:p w:rsidR="00F37F5F" w:rsidRDefault="00F37F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E070CE-8A7D-48DB-B009-644650961458}"/>
    <w:embedBold r:id="rId2" w:fontKey="{5846C9EA-2BF6-43FA-A4C8-8B50F405DB6C}"/>
    <w:embedItalic r:id="rId3" w:fontKey="{85B47F2B-7520-4528-9F9D-D66020DB1E72}"/>
  </w:font>
  <w:font w:name="Calibri">
    <w:panose1 w:val="020F0502020204030204"/>
    <w:charset w:val="00"/>
    <w:family w:val="swiss"/>
    <w:pitch w:val="variable"/>
    <w:sig w:usb0="E10002FF" w:usb1="4000ACFF" w:usb2="00000009" w:usb3="00000000" w:csb0="0000019F" w:csb1="00000000"/>
    <w:embedRegular r:id="rId4" w:fontKey="{F6D78DF6-8917-4304-812C-035AF6100ECB}"/>
  </w:font>
  <w:font w:name="Tahoma">
    <w:panose1 w:val="020B0604030504040204"/>
    <w:charset w:val="00"/>
    <w:family w:val="swiss"/>
    <w:pitch w:val="variable"/>
    <w:sig w:usb0="21002A87" w:usb1="80000000" w:usb2="00000008" w:usb3="00000000" w:csb0="000101FF" w:csb1="00000000"/>
    <w:embedRegular r:id="rId5" w:fontKey="{B93E8FA9-F5F4-4E1D-A256-D9C0DCCECC9E}"/>
  </w:font>
  <w:font w:name="Cambria">
    <w:panose1 w:val="02040503050406030204"/>
    <w:charset w:val="00"/>
    <w:family w:val="roman"/>
    <w:pitch w:val="variable"/>
    <w:sig w:usb0="E00002FF" w:usb1="400004FF" w:usb2="00000000" w:usb3="00000000" w:csb0="0000019F" w:csb1="00000000"/>
    <w:embedRegular r:id="rId6" w:fontKey="{C8065AD7-3F4A-40B8-88F3-E2BED34751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F9" w:rsidRPr="0017051F" w:rsidRDefault="0017051F" w:rsidP="0017051F">
    <w:pPr>
      <w:pStyle w:val="Footer"/>
      <w:tabs>
        <w:tab w:val="clear" w:pos="4680"/>
        <w:tab w:val="clear" w:pos="9360"/>
        <w:tab w:val="center" w:pos="2995"/>
      </w:tabs>
      <w:spacing w:before="120"/>
    </w:pPr>
    <w:r>
      <w:t>[221</w:t>
    </w:r>
    <w:r w:rsidR="003C35BA">
      <w:t>-</w:t>
    </w:r>
    <w:fldSimple w:instr=" PAGE  \* MERGEFORMAT ">
      <w:r w:rsidR="00B8396D">
        <w:rPr>
          <w:noProof/>
        </w:rPr>
        <w:t>1</w:t>
      </w:r>
    </w:fldSimple>
    <w:r w:rsidR="003C35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5BA" w:rsidRPr="0017051F" w:rsidRDefault="003C35BA" w:rsidP="0017051F">
    <w:pPr>
      <w:pStyle w:val="Footer"/>
      <w:tabs>
        <w:tab w:val="clear" w:pos="4680"/>
        <w:tab w:val="clear" w:pos="9360"/>
        <w:tab w:val="center" w:pos="2995"/>
      </w:tabs>
      <w:spacing w:before="120"/>
    </w:pPr>
    <w:r>
      <w:t>[221]</w:t>
    </w:r>
    <w:r>
      <w:tab/>
    </w:r>
    <w:fldSimple w:instr=" PAGE  \* MERGEFORMAT ">
      <w:r w:rsidR="00B839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F5F" w:rsidRDefault="00F37F5F" w:rsidP="009F0C77">
      <w:r>
        <w:separator/>
      </w:r>
    </w:p>
  </w:footnote>
  <w:footnote w:type="continuationSeparator" w:id="0">
    <w:p w:rsidR="00F37F5F" w:rsidRDefault="00F37F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16VR13"/>
    <w:docVar w:name="CoverBillType" w:val="b"/>
    <w:docVar w:name="docpath" w:val="L:\Council\bills\NBD\11016VR13.DOCX"/>
    <w:docVar w:name="dvBillNumber" w:val="221"/>
    <w:docVar w:name="dvBillNumberPrefix" w:val="S. "/>
    <w:docVar w:name="dvOriginalBody" w:val="Senate"/>
    <w:docVar w:name="dvSteno" w:val="NBD"/>
    <w:docVar w:name="NameofBody" w:val="s"/>
    <w:docVar w:name="vgroup2" w:val="Council"/>
  </w:docVars>
  <w:rsids>
    <w:rsidRoot w:val="00D16657"/>
    <w:rsid w:val="00001933"/>
    <w:rsid w:val="00026C9A"/>
    <w:rsid w:val="000965A1"/>
    <w:rsid w:val="000D2D83"/>
    <w:rsid w:val="000E1785"/>
    <w:rsid w:val="000E63A3"/>
    <w:rsid w:val="000F39F2"/>
    <w:rsid w:val="001023A4"/>
    <w:rsid w:val="0010776B"/>
    <w:rsid w:val="00133E66"/>
    <w:rsid w:val="00134ACF"/>
    <w:rsid w:val="00144E15"/>
    <w:rsid w:val="001703E2"/>
    <w:rsid w:val="0017051F"/>
    <w:rsid w:val="001A4A62"/>
    <w:rsid w:val="001A681E"/>
    <w:rsid w:val="001B3115"/>
    <w:rsid w:val="001B7A67"/>
    <w:rsid w:val="001D08F2"/>
    <w:rsid w:val="001D47D6"/>
    <w:rsid w:val="002037CA"/>
    <w:rsid w:val="002047A2"/>
    <w:rsid w:val="002321B6"/>
    <w:rsid w:val="0023696B"/>
    <w:rsid w:val="00250967"/>
    <w:rsid w:val="002759C5"/>
    <w:rsid w:val="00277DEE"/>
    <w:rsid w:val="00280D88"/>
    <w:rsid w:val="00294ABE"/>
    <w:rsid w:val="002A3EB4"/>
    <w:rsid w:val="002E21C7"/>
    <w:rsid w:val="00325348"/>
    <w:rsid w:val="00353240"/>
    <w:rsid w:val="00393688"/>
    <w:rsid w:val="003C35BA"/>
    <w:rsid w:val="003D411E"/>
    <w:rsid w:val="003E3C1E"/>
    <w:rsid w:val="003E6148"/>
    <w:rsid w:val="00400EAA"/>
    <w:rsid w:val="0041760A"/>
    <w:rsid w:val="004809EE"/>
    <w:rsid w:val="004C6E06"/>
    <w:rsid w:val="00511EE9"/>
    <w:rsid w:val="00521E00"/>
    <w:rsid w:val="005625E7"/>
    <w:rsid w:val="00577C6C"/>
    <w:rsid w:val="0058501B"/>
    <w:rsid w:val="0059631A"/>
    <w:rsid w:val="006215AA"/>
    <w:rsid w:val="0062778B"/>
    <w:rsid w:val="006340D9"/>
    <w:rsid w:val="00643B8E"/>
    <w:rsid w:val="00665EBC"/>
    <w:rsid w:val="0069470D"/>
    <w:rsid w:val="006A476C"/>
    <w:rsid w:val="006C6A93"/>
    <w:rsid w:val="006E02F9"/>
    <w:rsid w:val="00753C04"/>
    <w:rsid w:val="00756946"/>
    <w:rsid w:val="00757F80"/>
    <w:rsid w:val="00765683"/>
    <w:rsid w:val="00771EEC"/>
    <w:rsid w:val="00786819"/>
    <w:rsid w:val="00794C39"/>
    <w:rsid w:val="00795ACD"/>
    <w:rsid w:val="00795D2F"/>
    <w:rsid w:val="00796DC2"/>
    <w:rsid w:val="007A325A"/>
    <w:rsid w:val="007F1523"/>
    <w:rsid w:val="007F509E"/>
    <w:rsid w:val="007F5799"/>
    <w:rsid w:val="007F6947"/>
    <w:rsid w:val="00872729"/>
    <w:rsid w:val="008D1D15"/>
    <w:rsid w:val="008F4429"/>
    <w:rsid w:val="00932670"/>
    <w:rsid w:val="009352BB"/>
    <w:rsid w:val="00990668"/>
    <w:rsid w:val="00996DE6"/>
    <w:rsid w:val="009D42E1"/>
    <w:rsid w:val="009F0C77"/>
    <w:rsid w:val="009F4654"/>
    <w:rsid w:val="009F4DD1"/>
    <w:rsid w:val="00A12C43"/>
    <w:rsid w:val="00A22CBE"/>
    <w:rsid w:val="00A64E80"/>
    <w:rsid w:val="00A741D9"/>
    <w:rsid w:val="00A9741D"/>
    <w:rsid w:val="00AB488F"/>
    <w:rsid w:val="00AD4B17"/>
    <w:rsid w:val="00B16EA1"/>
    <w:rsid w:val="00B26FA6"/>
    <w:rsid w:val="00B4392A"/>
    <w:rsid w:val="00B741CB"/>
    <w:rsid w:val="00B8396D"/>
    <w:rsid w:val="00B934F3"/>
    <w:rsid w:val="00BB6347"/>
    <w:rsid w:val="00BD2134"/>
    <w:rsid w:val="00BF17F9"/>
    <w:rsid w:val="00C038D8"/>
    <w:rsid w:val="00C045DD"/>
    <w:rsid w:val="00C3136F"/>
    <w:rsid w:val="00C3483A"/>
    <w:rsid w:val="00C74E9D"/>
    <w:rsid w:val="00C82FD3"/>
    <w:rsid w:val="00CC6B7B"/>
    <w:rsid w:val="00CD3619"/>
    <w:rsid w:val="00CE7693"/>
    <w:rsid w:val="00CF4447"/>
    <w:rsid w:val="00D12829"/>
    <w:rsid w:val="00D16657"/>
    <w:rsid w:val="00D31453"/>
    <w:rsid w:val="00D405E7"/>
    <w:rsid w:val="00D41D56"/>
    <w:rsid w:val="00D6260D"/>
    <w:rsid w:val="00D6662B"/>
    <w:rsid w:val="00D95E2F"/>
    <w:rsid w:val="00D970A9"/>
    <w:rsid w:val="00DB3AC0"/>
    <w:rsid w:val="00DC296E"/>
    <w:rsid w:val="00DE68F0"/>
    <w:rsid w:val="00DF3845"/>
    <w:rsid w:val="00DF7E17"/>
    <w:rsid w:val="00E019D4"/>
    <w:rsid w:val="00E378AB"/>
    <w:rsid w:val="00EB00A2"/>
    <w:rsid w:val="00EB1BF3"/>
    <w:rsid w:val="00EF3EEE"/>
    <w:rsid w:val="00F149A7"/>
    <w:rsid w:val="00F37F5F"/>
    <w:rsid w:val="00F50BAF"/>
    <w:rsid w:val="00F52C10"/>
    <w:rsid w:val="00F81FFD"/>
    <w:rsid w:val="00F85228"/>
    <w:rsid w:val="00F9623B"/>
    <w:rsid w:val="00FB6773"/>
    <w:rsid w:val="00FD32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6EA1"/>
    <w:rPr>
      <w:rFonts w:ascii="Tahoma" w:hAnsi="Tahoma" w:cs="Tahoma"/>
      <w:sz w:val="16"/>
      <w:szCs w:val="16"/>
    </w:rPr>
  </w:style>
  <w:style w:type="character" w:customStyle="1" w:styleId="BalloonTextChar">
    <w:name w:val="Balloon Text Char"/>
    <w:basedOn w:val="DefaultParagraphFont"/>
    <w:link w:val="BalloonText"/>
    <w:uiPriority w:val="99"/>
    <w:semiHidden/>
    <w:rsid w:val="00B16E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F1555-97B4-49A8-945F-FBFC526F0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1820</Words>
  <Characters>9379</Characters>
  <Application>Microsoft Office Word</Application>
  <DocSecurity>0</DocSecurity>
  <Lines>234</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2013-01-11T14:00:00Z</cp:lastPrinted>
  <dcterms:created xsi:type="dcterms:W3CDTF">2013-02-20T23:24:00Z</dcterms:created>
  <dcterms:modified xsi:type="dcterms:W3CDTF">2013-02-20T23:24:00Z</dcterms:modified>
</cp:coreProperties>
</file>