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49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19</w:t>
      </w:r>
      <w:r>
        <w:noBreakHyphen/>
        <w:t>115 SO AS TO REQUIRE CANDIDATES FOR MAGISTRATES COURT TO BE SCREENED BY THE JUDICIAL MERIT SELECTION COMMISSION BEFORE THEY MAY BE APPOINTED BY THE GOVERNOR BY AND WITH THE CONSENT OF THE SENATE; AND TO AMEND SECTION 22</w:t>
      </w:r>
      <w:r>
        <w:noBreakHyphen/>
        <w:t>1</w:t>
      </w:r>
      <w:r>
        <w:noBreakHyphen/>
        <w:t xml:space="preserve">10, AS AMENDED, RELATING TO THE APPOINTMENT AND JURISDICTION OF MAGISTRATES, SO AS TO PROVIDE MAGISTRATES MUST BE SCREENED BY THE JUDICIAL MERIT SELECTION COMMISSION AND DELETE LANGUAGE ALLOWING MAGISTRATES’ TERMS TO CONTINUE UNTIL SUCCESSORS ARE APPOINTED AND QUALIFIED. </w:t>
      </w:r>
    </w:p>
    <w:p w:rsidR="00F64949" w:rsidRDefault="00F64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4949" w:rsidRDefault="00F64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4949" w:rsidRDefault="00F64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19" w:rsidRDefault="00F6494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7F19">
        <w:t>Chapter 19, Title 2 of the 1976 Code is amended by adding:</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(A)</w:t>
      </w:r>
      <w:r>
        <w:tab/>
        <w:t>Upon a vacancy in the office of magistrate in each county of the State, candidates for this office shall submit an application to the Judicial Merit Selection Commission and be screened in the same manner and in accordance with the provisions of this chapter.  Upon completion of the commission</w:t>
      </w:r>
      <w:r w:rsidRPr="00FF1031">
        <w:t>’</w:t>
      </w:r>
      <w:r>
        <w:t xml:space="preserve">s reports and recommendations, the commission shall submit these reports and recommendations on magistrate candidates to the appropriate Senate delegation.  The Senate delegation then shall submit the name of the magistrate candidate of choice for appointment by the Governor, by and with the advice and consent of the Senate, pursuant to the provisions of </w:t>
      </w:r>
      <w:r>
        <w:lastRenderedPageBreak/>
        <w:t>Section 22</w:t>
      </w:r>
      <w:r>
        <w:noBreakHyphen/>
        <w:t>1</w:t>
      </w:r>
      <w:r>
        <w:noBreakHyphen/>
        <w:t xml:space="preserve">10.  A person found not qualified by the commission may not be submitted to the Governor for appointment.  </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a vacancy occurs in the office of magistrate in a county when any of the following occurs, a:</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magistrate</w:t>
      </w:r>
      <w:r w:rsidRPr="00FF1031">
        <w:t>’</w:t>
      </w:r>
      <w:r>
        <w:t>s term expires;</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new magistrate</w:t>
      </w:r>
      <w:r w:rsidRPr="00FF1031">
        <w:t>’</w:t>
      </w:r>
      <w:r>
        <w:t>s office is created; or</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magistrate is no longer able to serve due to resignation, retirement, disciplinary action, disability, or death.</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begin the screening process of a magistrate before the actual date of a vacancy in the case of an expiration of a term, resignation, or retirement when written notice is received by the commission.”</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w:t>
      </w:r>
      <w:r>
        <w:noBreakHyphen/>
        <w:t>1</w:t>
      </w:r>
      <w:r>
        <w:noBreakHyphen/>
        <w:t>10(A) of the 1976 Code, as last amended by Act 70 of 2011, is further amended to read:</w:t>
      </w:r>
    </w:p>
    <w:p w:rsidR="00637F19" w:rsidRDefault="00637F19" w:rsidP="00637F1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p>
    <w:p w:rsidR="00637F19" w:rsidRPr="00DA4E7D" w:rsidRDefault="00637F19" w:rsidP="00637F1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DA4E7D">
        <w:rPr>
          <w:color w:val="000000" w:themeColor="text1"/>
          <w:u w:color="000000" w:themeColor="text1"/>
        </w:rPr>
        <w:t xml:space="preserve">The Governor, by and with the advice and consent of the Senate, may appoint magistrates in each county of the State for a term of four years </w:t>
      </w:r>
      <w:r w:rsidRPr="00311832">
        <w:rPr>
          <w:strike/>
          <w:color w:val="000000" w:themeColor="text1"/>
          <w:u w:color="000000" w:themeColor="text1"/>
        </w:rPr>
        <w:t>and until their successors are appointed and qualified, or their positions are terminated as provided in subsection (B), Section 22</w:t>
      </w:r>
      <w:r>
        <w:rPr>
          <w:strike/>
          <w:color w:val="000000" w:themeColor="text1"/>
          <w:u w:color="000000" w:themeColor="text1"/>
        </w:rPr>
        <w:noBreakHyphen/>
      </w:r>
      <w:r w:rsidRPr="00311832">
        <w:rPr>
          <w:strike/>
          <w:color w:val="000000" w:themeColor="text1"/>
          <w:u w:color="000000" w:themeColor="text1"/>
        </w:rPr>
        <w:t>1</w:t>
      </w:r>
      <w:r>
        <w:rPr>
          <w:strike/>
          <w:color w:val="000000" w:themeColor="text1"/>
          <w:u w:color="000000" w:themeColor="text1"/>
        </w:rPr>
        <w:noBreakHyphen/>
      </w:r>
      <w:r w:rsidRPr="00311832">
        <w:rPr>
          <w:strike/>
          <w:color w:val="000000" w:themeColor="text1"/>
          <w:u w:color="000000" w:themeColor="text1"/>
        </w:rPr>
        <w:t>30, or Section 22</w:t>
      </w:r>
      <w:r>
        <w:rPr>
          <w:strike/>
          <w:color w:val="000000" w:themeColor="text1"/>
          <w:u w:color="000000" w:themeColor="text1"/>
        </w:rPr>
        <w:noBreakHyphen/>
      </w:r>
      <w:r w:rsidRPr="00311832">
        <w:rPr>
          <w:strike/>
          <w:color w:val="000000" w:themeColor="text1"/>
          <w:u w:color="000000" w:themeColor="text1"/>
        </w:rPr>
        <w:t>2</w:t>
      </w:r>
      <w:r>
        <w:rPr>
          <w:strike/>
          <w:color w:val="000000" w:themeColor="text1"/>
          <w:u w:color="000000" w:themeColor="text1"/>
        </w:rPr>
        <w:noBreakHyphen/>
      </w:r>
      <w:r w:rsidRPr="00311832">
        <w:rPr>
          <w:strike/>
          <w:color w:val="000000" w:themeColor="text1"/>
          <w:u w:color="000000" w:themeColor="text1"/>
        </w:rPr>
        <w:t>40</w:t>
      </w:r>
      <w:r>
        <w:rPr>
          <w:color w:val="000000" w:themeColor="text1"/>
          <w:u w:color="000000" w:themeColor="text1"/>
        </w:rPr>
        <w:t xml:space="preserve"> </w:t>
      </w:r>
      <w:r>
        <w:rPr>
          <w:color w:val="000000" w:themeColor="text1"/>
          <w:u w:val="single" w:color="000000" w:themeColor="text1"/>
        </w:rPr>
        <w:t>after they have been screened by the Judicial Merit Selection Commission pursuant to Section 2</w:t>
      </w:r>
      <w:r>
        <w:rPr>
          <w:color w:val="000000" w:themeColor="text1"/>
          <w:u w:val="single" w:color="000000" w:themeColor="text1"/>
        </w:rPr>
        <w:noBreakHyphen/>
        <w:t>19</w:t>
      </w:r>
      <w:r>
        <w:rPr>
          <w:color w:val="000000" w:themeColor="text1"/>
          <w:u w:val="single" w:color="000000" w:themeColor="text1"/>
        </w:rPr>
        <w:noBreakHyphen/>
        <w:t>115</w:t>
      </w:r>
      <w:r w:rsidRPr="00DA4E7D">
        <w:rPr>
          <w:color w:val="000000" w:themeColor="text1"/>
          <w:u w:color="000000" w:themeColor="text1"/>
        </w:rPr>
        <w:t xml:space="preserve">. </w:t>
      </w:r>
    </w:p>
    <w:p w:rsidR="00637F19" w:rsidRPr="00DA4E7D"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637F19" w:rsidRPr="00DA4E7D"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At least ninety days before the date of the commencement of the terms provided in the preceding paragraph and every four years thereafter, each county governing body must inform, in writin</w:t>
      </w:r>
      <w:r>
        <w:rPr>
          <w:color w:val="000000" w:themeColor="text1"/>
          <w:u w:color="000000" w:themeColor="text1"/>
        </w:rPr>
        <w:t>g, the s</w:t>
      </w:r>
      <w:r w:rsidRPr="00DA4E7D">
        <w:rPr>
          <w:color w:val="000000" w:themeColor="text1"/>
          <w:u w:color="000000" w:themeColor="text1"/>
        </w:rPr>
        <w:t>enators representing that county of the number of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Pr>
          <w:color w:val="000000" w:themeColor="text1"/>
          <w:u w:color="000000" w:themeColor="text1"/>
        </w:rPr>
        <w:t>s</w:t>
      </w:r>
      <w:r w:rsidRPr="00DA4E7D">
        <w:rPr>
          <w:color w:val="000000" w:themeColor="text1"/>
          <w:u w:color="000000" w:themeColor="text1"/>
        </w:rPr>
        <w:t xml:space="preserve">enators representing that county of the information as </w:t>
      </w:r>
      <w:r w:rsidRPr="00DA4E7D">
        <w:rPr>
          <w:color w:val="000000" w:themeColor="text1"/>
          <w:u w:color="000000" w:themeColor="text1"/>
        </w:rPr>
        <w:lastRenderedPageBreak/>
        <w:t>required in this section, then the compensation, hours, and location of the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remain as designated for the previous four years. </w:t>
      </w:r>
    </w:p>
    <w:p w:rsidR="00637F19" w:rsidRPr="00DA4E7D"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Each magistrate</w:t>
      </w:r>
      <w:r w:rsidRPr="00FF1031">
        <w:rPr>
          <w:color w:val="000000" w:themeColor="text1"/>
          <w:u w:color="000000" w:themeColor="text1"/>
        </w:rPr>
        <w:t>’</w:t>
      </w:r>
      <w:r w:rsidRPr="00DA4E7D">
        <w:rPr>
          <w:color w:val="000000" w:themeColor="text1"/>
          <w:u w:color="000000" w:themeColor="text1"/>
        </w:rPr>
        <w:t xml:space="preserve">s number of work hours, compensation, and work location must remain the same throughout the term of office, except for a change </w:t>
      </w:r>
      <w:r w:rsidRPr="00311832">
        <w:rPr>
          <w:strike/>
          <w:color w:val="000000" w:themeColor="text1"/>
          <w:u w:color="000000" w:themeColor="text1"/>
        </w:rPr>
        <w:t>(1)</w:t>
      </w:r>
      <w:r w:rsidRPr="00DA4E7D">
        <w:rPr>
          <w:color w:val="000000" w:themeColor="text1"/>
          <w:u w:color="000000" w:themeColor="text1"/>
        </w:rPr>
        <w:t xml:space="preserve"> specifically allowed by statute or </w:t>
      </w:r>
      <w:r w:rsidRPr="00311832">
        <w:rPr>
          <w:strike/>
          <w:color w:val="000000" w:themeColor="text1"/>
          <w:u w:color="000000" w:themeColor="text1"/>
        </w:rPr>
        <w:t>(2)</w:t>
      </w:r>
      <w:r w:rsidRPr="00DA4E7D">
        <w:rPr>
          <w:color w:val="000000" w:themeColor="text1"/>
          <w:u w:color="000000" w:themeColor="text1"/>
        </w:rPr>
        <w:t xml:space="preserve"> authorized by the county governing body at least four years after the magistrate</w:t>
      </w:r>
      <w:r w:rsidRPr="00FF1031">
        <w:rPr>
          <w:color w:val="000000" w:themeColor="text1"/>
          <w:u w:color="000000" w:themeColor="text1"/>
        </w:rPr>
        <w:t>’</w:t>
      </w:r>
      <w:r w:rsidRPr="00DA4E7D">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637F19" w:rsidRPr="00DA4E7D"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other</w:t>
      </w:r>
      <w:r>
        <w:rPr>
          <w:color w:val="000000" w:themeColor="text1"/>
          <w:u w:color="000000" w:themeColor="text1"/>
        </w:rPr>
        <w:t>wise provided in this section.”</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94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609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09C5" w:rsidRDefault="006609C5" w:rsidP="006609C5">
      <w:pPr>
        <w:suppressAutoHyphens/>
      </w:pPr>
    </w:p>
    <w:sectPr w:rsidR="006609C5" w:rsidSect="006609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949" w:rsidRDefault="00F64949" w:rsidP="009F0C77">
      <w:r>
        <w:separator/>
      </w:r>
    </w:p>
  </w:endnote>
  <w:endnote w:type="continuationSeparator" w:id="0">
    <w:p w:rsidR="00F64949" w:rsidRDefault="00F649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12293B-CC34-44A6-A664-886C836A0934}"/>
    <w:embedBold r:id="rId2" w:fontKey="{E8F19029-4A4D-4721-9FCF-D60899FAA59D}"/>
  </w:font>
  <w:font w:name="Calibri">
    <w:panose1 w:val="020F0502020204030204"/>
    <w:charset w:val="00"/>
    <w:family w:val="swiss"/>
    <w:pitch w:val="variable"/>
    <w:sig w:usb0="E10002FF" w:usb1="4000ACFF" w:usb2="00000009" w:usb3="00000000" w:csb0="0000019F" w:csb1="00000000"/>
    <w:embedRegular r:id="rId3" w:fontKey="{F55D610B-2FC0-463D-8336-C0862F34F266}"/>
  </w:font>
  <w:font w:name="Cambria">
    <w:panose1 w:val="02040503050406030204"/>
    <w:charset w:val="00"/>
    <w:family w:val="roman"/>
    <w:pitch w:val="variable"/>
    <w:sig w:usb0="E00002FF" w:usb1="400004FF" w:usb2="00000000" w:usb3="00000000" w:csb0="0000019F" w:csb1="00000000"/>
    <w:embedRegular r:id="rId4" w:fontKey="{9E505600-8795-4206-B961-A6DD33CCC1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EAA" w:rsidRPr="006609C5" w:rsidRDefault="006609C5" w:rsidP="006609C5">
    <w:pPr>
      <w:pStyle w:val="Footer"/>
      <w:tabs>
        <w:tab w:val="clear" w:pos="4680"/>
        <w:tab w:val="clear" w:pos="9360"/>
        <w:tab w:val="center" w:pos="2995"/>
      </w:tabs>
      <w:spacing w:before="120"/>
    </w:pPr>
    <w:r>
      <w:t>[3156]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949" w:rsidRDefault="00F64949" w:rsidP="009F0C77">
      <w:r>
        <w:separator/>
      </w:r>
    </w:p>
  </w:footnote>
  <w:footnote w:type="continuationSeparator" w:id="0">
    <w:p w:rsidR="00F64949" w:rsidRDefault="00F649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5AHB13"/>
    <w:docVar w:name="CoverBillType" w:val="b"/>
    <w:docVar w:name="docpath" w:val="L:\Council\bills\MS\7005AHB13.DOCX"/>
    <w:docVar w:name="dvBillNumber" w:val="3156"/>
    <w:docVar w:name="dvBillNumberPrefix" w:val="H. "/>
    <w:docVar w:name="dvOriginalBody" w:val="House"/>
    <w:docVar w:name="dvSteno" w:val="MS"/>
    <w:docVar w:name="NameofBody" w:val="h"/>
    <w:docVar w:name="vgroup2" w:val="Council"/>
  </w:docVars>
  <w:rsids>
    <w:rsidRoot w:val="00D14120"/>
    <w:rsid w:val="00011869"/>
    <w:rsid w:val="00061EAA"/>
    <w:rsid w:val="000E1785"/>
    <w:rsid w:val="000F40FA"/>
    <w:rsid w:val="0010776B"/>
    <w:rsid w:val="00133E66"/>
    <w:rsid w:val="001435A3"/>
    <w:rsid w:val="00157367"/>
    <w:rsid w:val="001D08F2"/>
    <w:rsid w:val="001D525B"/>
    <w:rsid w:val="001D7F4F"/>
    <w:rsid w:val="002321B6"/>
    <w:rsid w:val="00232675"/>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7F19"/>
    <w:rsid w:val="006609C5"/>
    <w:rsid w:val="006913C9"/>
    <w:rsid w:val="0069470D"/>
    <w:rsid w:val="00734F00"/>
    <w:rsid w:val="0079738B"/>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4120"/>
    <w:rsid w:val="00D73A67"/>
    <w:rsid w:val="00D970A9"/>
    <w:rsid w:val="00DB476C"/>
    <w:rsid w:val="00DF3845"/>
    <w:rsid w:val="00E41911"/>
    <w:rsid w:val="00E92EEF"/>
    <w:rsid w:val="00F24442"/>
    <w:rsid w:val="00F50AE3"/>
    <w:rsid w:val="00F6494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637F1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BC0A7-533C-4B85-99D7-D4A613DBA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4224</Characters>
  <Application>Microsoft Office Word</Application>
  <DocSecurity>0</DocSecurity>
  <Lines>35</Lines>
  <Paragraphs>9</Paragraphs>
  <ScaleCrop>false</ScaleCrop>
  <Company>LPITS</Company>
  <LinksUpToDate>false</LinksUpToDate>
  <CharactersWithSpaces>4955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dcterms:created xsi:type="dcterms:W3CDTF">2012-12-18T20:08:00Z</dcterms:created>
  <dcterms:modified xsi:type="dcterms:W3CDTF">2012-12-18T20:08:00Z</dcterms:modified>
</cp:coreProperties>
</file>