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5B3960" w:rsidP="001D7F4F">
      <w:pPr>
        <w:pStyle w:val="BillDots"/>
      </w:pPr>
      <w:r>
        <w:t>AS PASSED BY THE SENATE</w:t>
      </w:r>
    </w:p>
    <w:p w:rsidR="00F862B3" w:rsidRDefault="00F862B3" w:rsidP="001D7F4F">
      <w:pPr>
        <w:pStyle w:val="BillDots"/>
      </w:pPr>
      <w:r>
        <w:t xml:space="preserve">April </w:t>
      </w:r>
      <w:r w:rsidR="005B3960">
        <w:t>29</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5B3960" w:rsidP="00045093">
      <w:pPr>
        <w:pStyle w:val="BillDots"/>
        <w:tabs>
          <w:tab w:val="clear" w:pos="216"/>
          <w:tab w:val="clear" w:pos="432"/>
          <w:tab w:val="clear" w:pos="648"/>
          <w:tab w:val="clear" w:pos="864"/>
          <w:tab w:val="clear" w:pos="1080"/>
          <w:tab w:val="clear" w:pos="1296"/>
          <w:tab w:val="clear" w:pos="5904"/>
          <w:tab w:val="right" w:pos="5933"/>
        </w:tabs>
      </w:pPr>
      <w:r>
        <w:t>S. Printed 4/29</w:t>
      </w:r>
      <w:r w:rsidR="00F862B3">
        <w:t>/14--</w:t>
      </w:r>
      <w:r w:rsidR="005A57C2">
        <w:t>S</w:t>
      </w:r>
      <w:r w:rsidR="00F862B3">
        <w:t>.</w:t>
      </w:r>
      <w:r w:rsidR="00045093">
        <w:tab/>
        <w:t>[SEC 4/30/14 6:07 PM]</w:t>
      </w:r>
    </w:p>
    <w:p w:rsidR="00F862B3" w:rsidRDefault="00F862B3" w:rsidP="001D7F4F">
      <w:pPr>
        <w:pStyle w:val="BillDots"/>
      </w:pPr>
      <w:r>
        <w:t xml:space="preserve">Read the first time </w:t>
      </w:r>
      <w:r w:rsidR="005A57C2">
        <w:t>April 15, 2014</w:t>
      </w:r>
      <w:r>
        <w:t>.</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90099"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C5EF9">
        <w:rPr>
          <w:strike/>
          <w:color w:val="000000" w:themeColor="text1"/>
          <w:u w:color="000000" w:themeColor="text1"/>
        </w:rPr>
        <w:t>Between the first day of January and the fifteenth day of March in each even-numbered year the</w:t>
      </w:r>
      <w:r w:rsidRPr="002B5B06">
        <w:rPr>
          <w:color w:val="000000" w:themeColor="text1"/>
          <w:u w:color="000000" w:themeColor="text1"/>
        </w:rPr>
        <w:t xml:space="preserve"> </w:t>
      </w:r>
      <w:r w:rsidRPr="002C5EF9">
        <w:rPr>
          <w:color w:val="000000" w:themeColor="text1"/>
          <w:u w:val="single"/>
        </w:rPr>
        <w:t>The</w:t>
      </w:r>
      <w:r>
        <w:rPr>
          <w:color w:val="000000" w:themeColor="text1"/>
          <w:u w:color="000000" w:themeColor="text1"/>
        </w:rPr>
        <w:t xml:space="preserve"> </w:t>
      </w:r>
      <w:r w:rsidRPr="002B5B06">
        <w:rPr>
          <w:color w:val="000000" w:themeColor="text1"/>
          <w:u w:color="000000" w:themeColor="text1"/>
        </w:rPr>
        <w:t xml:space="preserve">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w:t>
      </w:r>
      <w:r w:rsidRPr="00551D0F">
        <w:rPr>
          <w:strike/>
          <w:u w:color="000000" w:themeColor="text1"/>
        </w:rPr>
        <w:t>not less than three nor more than five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 xml:space="preserve">_________ County’. </w:t>
      </w:r>
      <w:r w:rsidRPr="00551D0F">
        <w:rPr>
          <w:color w:val="000000" w:themeColor="text1"/>
          <w:u w:val="single"/>
        </w:rPr>
        <w:t>The</w:t>
      </w:r>
      <w:r>
        <w:rPr>
          <w:color w:val="000000" w:themeColor="text1"/>
          <w:u w:val="single"/>
        </w:rPr>
        <w:t xml:space="preserve"> total number of members on the board must be not less than five nor more than nine persons.</w:t>
      </w:r>
      <w:r w:rsidRPr="00551D0F">
        <w:rPr>
          <w:color w:val="000000" w:themeColor="text1"/>
          <w:u w:val="single"/>
        </w:rPr>
        <w:t xml:space="preserve"> </w:t>
      </w:r>
      <w:r w:rsidRPr="006723FA">
        <w:rPr>
          <w:color w:val="000000" w:themeColor="text1"/>
          <w:u w:val="single"/>
        </w:rPr>
        <w:t>At least one</w:t>
      </w:r>
      <w:r>
        <w:rPr>
          <w:color w:val="000000" w:themeColor="text1"/>
          <w:u w:val="single"/>
        </w:rPr>
        <w:t xml:space="preserve"> </w:t>
      </w:r>
      <w:r w:rsidR="008E37EE" w:rsidRPr="006723FA">
        <w:rPr>
          <w:color w:val="000000" w:themeColor="text1"/>
          <w:u w:val="single"/>
        </w:rPr>
        <w:t xml:space="preserve">appointee </w:t>
      </w:r>
      <w:r w:rsidR="008E37EE">
        <w:rPr>
          <w:color w:val="000000" w:themeColor="text1"/>
          <w:u w:val="single"/>
        </w:rPr>
        <w:t>on the board shall be a member of</w:t>
      </w:r>
      <w:r w:rsidR="008E37EE" w:rsidRPr="006723FA">
        <w:rPr>
          <w:color w:val="000000" w:themeColor="text1"/>
          <w:u w:val="single"/>
        </w:rPr>
        <w:t xml:space="preserve"> the </w:t>
      </w:r>
      <w:r w:rsidR="008E37EE">
        <w:rPr>
          <w:color w:val="000000" w:themeColor="text1"/>
          <w:u w:val="single"/>
        </w:rPr>
        <w:t>majority</w:t>
      </w:r>
      <w:r w:rsidR="008E37EE" w:rsidRPr="006723FA">
        <w:rPr>
          <w:color w:val="000000" w:themeColor="text1"/>
          <w:u w:val="single"/>
        </w:rPr>
        <w:t xml:space="preserve"> political party</w:t>
      </w:r>
      <w:r w:rsidR="008E37EE">
        <w:rPr>
          <w:color w:val="000000" w:themeColor="text1"/>
          <w:u w:val="single"/>
        </w:rPr>
        <w:t xml:space="preserve"> represented in the General Assembly</w:t>
      </w:r>
      <w:r w:rsidR="008E37EE" w:rsidRPr="006723FA">
        <w:rPr>
          <w:color w:val="000000" w:themeColor="text1"/>
          <w:u w:val="single"/>
        </w:rPr>
        <w:t xml:space="preserve"> and </w:t>
      </w:r>
      <w:r w:rsidR="008E37EE">
        <w:rPr>
          <w:color w:val="000000" w:themeColor="text1"/>
          <w:u w:val="single"/>
        </w:rPr>
        <w:t xml:space="preserve">at least </w:t>
      </w:r>
      <w:r w:rsidR="008E37EE" w:rsidRPr="006723FA">
        <w:rPr>
          <w:color w:val="000000" w:themeColor="text1"/>
          <w:u w:val="single"/>
        </w:rPr>
        <w:t xml:space="preserve">one </w:t>
      </w:r>
      <w:r w:rsidR="008E37EE">
        <w:rPr>
          <w:color w:val="000000" w:themeColor="text1"/>
          <w:u w:val="single"/>
        </w:rPr>
        <w:t>appointee shall be a member of</w:t>
      </w:r>
      <w:r w:rsidR="008E37EE" w:rsidRPr="006723FA">
        <w:rPr>
          <w:color w:val="000000" w:themeColor="text1"/>
          <w:u w:val="single"/>
        </w:rPr>
        <w:t xml:space="preserve"> </w:t>
      </w:r>
      <w:r w:rsidR="008E37EE">
        <w:rPr>
          <w:color w:val="000000" w:themeColor="text1"/>
          <w:u w:val="single"/>
        </w:rPr>
        <w:t xml:space="preserve">the </w:t>
      </w:r>
      <w:r w:rsidR="008E37EE" w:rsidRPr="006723FA">
        <w:rPr>
          <w:color w:val="000000" w:themeColor="text1"/>
          <w:u w:val="single"/>
        </w:rPr>
        <w:t>largest</w:t>
      </w:r>
      <w:r w:rsidR="008E37EE">
        <w:rPr>
          <w:color w:val="000000" w:themeColor="text1"/>
          <w:u w:val="single"/>
        </w:rPr>
        <w:t xml:space="preserve"> minority</w:t>
      </w:r>
      <w:r w:rsidR="008E37EE" w:rsidRPr="006723FA">
        <w:rPr>
          <w:color w:val="000000" w:themeColor="text1"/>
          <w:u w:val="single"/>
        </w:rPr>
        <w:t xml:space="preserve"> political party </w:t>
      </w:r>
      <w:r w:rsidR="008E37EE">
        <w:rPr>
          <w:color w:val="000000" w:themeColor="text1"/>
          <w:u w:val="single"/>
        </w:rPr>
        <w:t>represented in the General Assembly</w:t>
      </w:r>
      <w:r w:rsidR="008E37EE" w:rsidRPr="006723FA">
        <w:rPr>
          <w:color w:val="000000" w:themeColor="text1"/>
          <w:u w:val="single"/>
        </w:rPr>
        <w:t>.</w:t>
      </w:r>
      <w:r w:rsidR="008E37EE"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w:t>
      </w:r>
      <w:r w:rsidRPr="006723FA">
        <w:rPr>
          <w:color w:val="000000" w:themeColor="text1"/>
          <w:u w:val="single"/>
        </w:rPr>
        <w:lastRenderedPageBreak/>
        <w:t>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lastRenderedPageBreak/>
        <w:tab/>
      </w:r>
      <w:r w:rsidR="005B3960" w:rsidRPr="00AD1AA1">
        <w:rPr>
          <w:color w:val="000000" w:themeColor="text1"/>
          <w:u w:val="single"/>
        </w:rPr>
        <w:t>(C)</w:t>
      </w:r>
      <w:r w:rsidR="005B3960" w:rsidRPr="00AD1AA1">
        <w:rPr>
          <w:color w:val="000000" w:themeColor="text1"/>
        </w:rPr>
        <w:tab/>
      </w:r>
      <w:r w:rsidR="005B3960" w:rsidRPr="00AD1AA1">
        <w:rPr>
          <w:color w:val="000000" w:themeColor="text1"/>
          <w:u w:val="single"/>
        </w:rPr>
        <w:t xml:space="preserve">The previous offices of county election commissions, voter registration boards, or combined boards are abolished.  The powers and duties of the county election commissions, voter registration boards, or combined boards are devolved upon the </w:t>
      </w:r>
      <w:r w:rsidR="00045093">
        <w:rPr>
          <w:color w:val="000000" w:themeColor="text1"/>
          <w:u w:val="single"/>
        </w:rPr>
        <w:t>b</w:t>
      </w:r>
      <w:r w:rsidR="005B3960" w:rsidRPr="00AD1AA1">
        <w:rPr>
          <w:color w:val="000000" w:themeColor="text1"/>
          <w:u w:val="single"/>
        </w:rPr>
        <w:t xml:space="preserve">oard of </w:t>
      </w:r>
      <w:r w:rsidR="00045093">
        <w:rPr>
          <w:color w:val="000000" w:themeColor="text1"/>
          <w:u w:val="single"/>
        </w:rPr>
        <w:t>v</w:t>
      </w:r>
      <w:r w:rsidR="005B3960" w:rsidRPr="00AD1AA1">
        <w:rPr>
          <w:color w:val="000000" w:themeColor="text1"/>
          <w:u w:val="single"/>
        </w:rPr>
        <w:t xml:space="preserve">oter </w:t>
      </w:r>
      <w:r w:rsidR="00045093">
        <w:rPr>
          <w:color w:val="000000" w:themeColor="text1"/>
          <w:u w:val="single"/>
        </w:rPr>
        <w:t>r</w:t>
      </w:r>
      <w:r w:rsidR="005B3960" w:rsidRPr="00AD1AA1">
        <w:rPr>
          <w:color w:val="000000" w:themeColor="text1"/>
          <w:u w:val="single"/>
        </w:rPr>
        <w:t xml:space="preserve">egistration and </w:t>
      </w:r>
      <w:r w:rsidR="00045093">
        <w:rPr>
          <w:color w:val="000000" w:themeColor="text1"/>
          <w:u w:val="single"/>
        </w:rPr>
        <w:t>e</w:t>
      </w:r>
      <w:r w:rsidR="005B3960" w:rsidRPr="00AD1AA1">
        <w:rPr>
          <w:color w:val="000000" w:themeColor="text1"/>
          <w:u w:val="single"/>
        </w:rPr>
        <w:t>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w:t>
      </w:r>
      <w:r w:rsidRPr="002B5B06">
        <w:rPr>
          <w:color w:val="000000" w:themeColor="text1"/>
          <w:u w:color="000000" w:themeColor="text1"/>
        </w:rPr>
        <w:lastRenderedPageBreak/>
        <w:t xml:space="preserve">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5A57C2" w:rsidRDefault="005A57C2"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w:t>
      </w:r>
      <w:r w:rsidRPr="00663E50">
        <w:rPr>
          <w:color w:val="000000" w:themeColor="text1"/>
          <w:u w:color="000000" w:themeColor="text1"/>
        </w:rPr>
        <w:tab/>
      </w:r>
      <w:r>
        <w:rPr>
          <w:color w:val="000000" w:themeColor="text1"/>
          <w:u w:color="000000" w:themeColor="text1"/>
        </w:rPr>
        <w:t>8</w:t>
      </w:r>
      <w:r w:rsidRPr="00663E50">
        <w:rPr>
          <w:color w:val="000000" w:themeColor="text1"/>
          <w:u w:color="000000" w:themeColor="text1"/>
        </w:rPr>
        <w:t>.</w:t>
      </w:r>
      <w:r w:rsidRPr="00663E50">
        <w:rPr>
          <w:color w:val="000000" w:themeColor="text1"/>
          <w:u w:color="000000" w:themeColor="text1"/>
        </w:rPr>
        <w:tab/>
      </w:r>
      <w:r w:rsidRPr="00663E50">
        <w:rPr>
          <w:color w:val="000000" w:themeColor="text1"/>
          <w:u w:color="000000" w:themeColor="text1"/>
        </w:rPr>
        <w:tab/>
      </w:r>
      <w:r>
        <w:rPr>
          <w:color w:val="000000" w:themeColor="text1"/>
          <w:u w:color="000000" w:themeColor="text1"/>
        </w:rPr>
        <w:t>Section 7-11-30 of the 1976 Code of Laws is amended to read:</w:t>
      </w:r>
    </w:p>
    <w:p w:rsidR="0074626D" w:rsidRDefault="0074626D"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099" w:rsidRPr="00663E50" w:rsidRDefault="00045093"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0099" w:rsidRPr="00663E50">
        <w:rPr>
          <w:color w:val="000000" w:themeColor="text1"/>
          <w:u w:color="000000" w:themeColor="text1"/>
        </w:rPr>
        <w:t>“Section 7</w:t>
      </w:r>
      <w:r w:rsidR="00890099" w:rsidRPr="00663E50">
        <w:rPr>
          <w:color w:val="000000" w:themeColor="text1"/>
          <w:u w:color="000000" w:themeColor="text1"/>
        </w:rPr>
        <w:noBreakHyphen/>
        <w:t>11</w:t>
      </w:r>
      <w:r w:rsidR="00890099" w:rsidRPr="00663E50">
        <w:rPr>
          <w:color w:val="000000" w:themeColor="text1"/>
          <w:u w:color="000000" w:themeColor="text1"/>
        </w:rPr>
        <w:noBreakHyphen/>
        <w:t>30.</w:t>
      </w:r>
      <w:r w:rsidR="00890099" w:rsidRPr="00663E50">
        <w:rPr>
          <w:color w:val="000000" w:themeColor="text1"/>
          <w:u w:color="000000" w:themeColor="text1"/>
        </w:rPr>
        <w:tab/>
        <w:t>(A)</w:t>
      </w:r>
      <w:r w:rsidR="00890099" w:rsidRPr="00663E50">
        <w:rPr>
          <w:color w:val="000000" w:themeColor="text1"/>
          <w:u w:color="000000" w:themeColor="text1"/>
        </w:rPr>
        <w:tab/>
        <w:t xml:space="preserve">A party may choose </w:t>
      </w:r>
      <w:r w:rsidR="00890099" w:rsidRPr="00663E50">
        <w:rPr>
          <w:color w:val="000000" w:themeColor="text1"/>
          <w:u w:val="single" w:color="000000" w:themeColor="text1"/>
        </w:rPr>
        <w:t>to change from nomination of candidates by primary to a method</w:t>
      </w:r>
      <w:r w:rsidR="00890099" w:rsidRPr="00663E50">
        <w:rPr>
          <w:color w:val="000000" w:themeColor="text1"/>
          <w:u w:color="000000" w:themeColor="text1"/>
        </w:rPr>
        <w:t xml:space="preserve"> to nominate candidates </w:t>
      </w:r>
      <w:r w:rsidR="00890099" w:rsidRPr="00663E50">
        <w:rPr>
          <w:color w:val="000000" w:themeColor="text1"/>
          <w:u w:val="single" w:color="000000" w:themeColor="text1"/>
        </w:rPr>
        <w:t>by convention</w:t>
      </w:r>
      <w:r w:rsidR="00890099" w:rsidRPr="00663E50">
        <w:rPr>
          <w:color w:val="000000" w:themeColor="text1"/>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(1)</w:t>
      </w:r>
      <w:r w:rsidRPr="00663E50">
        <w:rPr>
          <w:color w:val="000000" w:themeColor="text1"/>
          <w:u w:color="000000" w:themeColor="text1"/>
        </w:rPr>
        <w:tab/>
        <w:t>there is a three</w:t>
      </w:r>
      <w:r w:rsidRPr="00663E50">
        <w:rPr>
          <w:color w:val="000000" w:themeColor="text1"/>
          <w:u w:color="000000" w:themeColor="text1"/>
        </w:rPr>
        <w:noBreakHyphen/>
        <w:t>fourths vote of the total membership of the convention to use the convention nomination process; and</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(2)</w:t>
      </w:r>
      <w:r w:rsidRPr="00663E50">
        <w:rPr>
          <w:color w:val="000000" w:themeColor="text1"/>
          <w:u w:color="000000" w:themeColor="text1"/>
        </w:rPr>
        <w:tab/>
        <w:t>a majority of voters in that party’s next primary election approve the use of the convention nomination process.</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(B)</w:t>
      </w:r>
      <w:r w:rsidRPr="00663E50">
        <w:rPr>
          <w:color w:val="000000" w:themeColor="text1"/>
          <w:u w:color="000000" w:themeColor="text1"/>
        </w:rPr>
        <w:tab/>
        <w:t>A party may not choose to nominate by party convention for an election cycle in which the filing period for candidates has begun.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(C)</w:t>
      </w:r>
      <w:r w:rsidRPr="00663E50">
        <w:rPr>
          <w:color w:val="000000" w:themeColor="text1"/>
          <w:u w:color="000000" w:themeColor="text1"/>
        </w:rPr>
        <w:tab/>
        <w:t>A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585474">
        <w:rPr>
          <w:color w:val="000000" w:themeColor="text1"/>
          <w:u w:val="single"/>
        </w:rPr>
        <w:t>(D)</w:t>
      </w:r>
      <w:r>
        <w:rPr>
          <w:color w:val="000000" w:themeColor="text1"/>
          <w:u w:color="000000" w:themeColor="text1"/>
        </w:rPr>
        <w:tab/>
      </w:r>
      <w:r w:rsidRPr="00585474">
        <w:rPr>
          <w:color w:val="000000" w:themeColor="text1"/>
          <w:u w:val="single"/>
        </w:rPr>
        <w:t>Nothing in this section requires a political party that has nominated candidates by convention in the previous election cycle to hold a primary in order to continue using the convention method to nominate candidates.</w:t>
      </w:r>
      <w:r>
        <w:rPr>
          <w:color w:val="000000" w:themeColor="text1"/>
          <w:u w:color="000000" w:themeColor="text1"/>
        </w:rPr>
        <w:tab/>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62C4E">
        <w:rPr>
          <w:color w:val="000000" w:themeColor="text1"/>
        </w:rPr>
        <w:t>SECTION</w:t>
      </w:r>
      <w:r>
        <w:rPr>
          <w:color w:val="000000" w:themeColor="text1"/>
        </w:rPr>
        <w:tab/>
        <w:t>9</w:t>
      </w:r>
      <w:r w:rsidRPr="00662C4E">
        <w:rPr>
          <w:color w:val="000000" w:themeColor="text1"/>
        </w:rPr>
        <w:t>.</w:t>
      </w:r>
      <w:r w:rsidRPr="00662C4E">
        <w:rPr>
          <w:color w:val="000000" w:themeColor="text1"/>
        </w:rPr>
        <w:tab/>
      </w:r>
      <w:r w:rsidRPr="00662C4E">
        <w:rPr>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662C4E">
        <w:rPr>
          <w:u w:color="000000" w:themeColor="text1"/>
        </w:rPr>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t>(A)</w:t>
      </w:r>
      <w:r>
        <w:rPr>
          <w:snapToGrid w:val="0"/>
        </w:rPr>
        <w:tab/>
        <w:t>The General Assemb</w:t>
      </w:r>
      <w:r w:rsidR="009503C5">
        <w:rPr>
          <w:snapToGrid w:val="0"/>
        </w:rPr>
        <w:t>l</w:t>
      </w:r>
      <w:r>
        <w:rPr>
          <w:snapToGrid w:val="0"/>
        </w:rPr>
        <w:t>y finds that pursuant to Section 14 of Act 61 of 2013, the act was to take effect upon preclearance approval by the United States Department of Ju</w:t>
      </w:r>
      <w:r w:rsidR="009503C5">
        <w:rPr>
          <w:snapToGrid w:val="0"/>
        </w:rPr>
        <w:t>s</w:t>
      </w:r>
      <w:r>
        <w:rPr>
          <w:snapToGrid w:val="0"/>
        </w:rPr>
        <w:t>tice or approval by a declaratory judgment issued by the United States District Court for the District of Columbia. The General Assembly further finds that the U.S. Supreme Court</w:t>
      </w:r>
      <w:r w:rsidRPr="008D515D">
        <w:rPr>
          <w:snapToGrid w:val="0"/>
        </w:rPr>
        <w:t>’</w:t>
      </w:r>
      <w:r>
        <w:rPr>
          <w:snapToGrid w:val="0"/>
        </w:rPr>
        <w:t xml:space="preserve">s decision in </w:t>
      </w:r>
      <w:r w:rsidRPr="00174AC3">
        <w:rPr>
          <w:i/>
          <w:snapToGrid w:val="0"/>
        </w:rPr>
        <w:t>Shelby County v. Holder</w:t>
      </w:r>
      <w:r w:rsidR="009503C5">
        <w:rPr>
          <w:snapToGrid w:val="0"/>
        </w:rPr>
        <w:t xml:space="preserve"> suspended the s</w:t>
      </w:r>
      <w:r>
        <w:rPr>
          <w:snapToGrid w:val="0"/>
        </w:rPr>
        <w:t>tate</w:t>
      </w:r>
      <w:r w:rsidRPr="008D515D">
        <w:rPr>
          <w:snapToGrid w:val="0"/>
        </w:rPr>
        <w:t>’</w:t>
      </w:r>
      <w:r>
        <w:rPr>
          <w:snapToGrid w:val="0"/>
        </w:rPr>
        <w:t>s requirement to obtain preclearance or a declaratory judgment under the provisions of the Voting Rights Act, which effectively removed the contingency upon which Act 61 was to take effect. As a result, the act does not contain a specific date to which it was to take effect.</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t>(B)</w:t>
      </w:r>
      <w:r>
        <w:rPr>
          <w:snapToGrid w:val="0"/>
        </w:rPr>
        <w:tab/>
        <w:t>The General Assembly finds and declares that Act 61, which was approved on June 13, 2013, took effect on July 3, 2013</w:t>
      </w:r>
      <w:r w:rsidR="00045093">
        <w:rPr>
          <w:snapToGrid w:val="0"/>
        </w:rPr>
        <w:t>,</w:t>
      </w:r>
      <w:r>
        <w:rPr>
          <w:snapToGrid w:val="0"/>
        </w:rPr>
        <w:t xml:space="preserve"> pursuant to the provisions of Section 2</w:t>
      </w:r>
      <w:r>
        <w:rPr>
          <w:snapToGrid w:val="0"/>
        </w:rPr>
        <w:noBreakHyphen/>
        <w:t>7</w:t>
      </w:r>
      <w:r>
        <w:rPr>
          <w:snapToGrid w:val="0"/>
        </w:rPr>
        <w:noBreakHyphen/>
        <w:t>10.</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 xml:space="preserve">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w:t>
      </w:r>
      <w:r w:rsidR="009503C5">
        <w:rPr>
          <w:color w:val="000000" w:themeColor="text1"/>
        </w:rPr>
        <w:t>Section</w:t>
      </w:r>
      <w:r>
        <w:rPr>
          <w:color w:val="000000" w:themeColor="text1"/>
        </w:rPr>
        <w:t xml:space="preserve"> 7-5-10(B)(1).  For counties in which the previous boards were separate and neither board had a director prior to the effective date of this act, the chairman of the former board of voter registration shall serve as the director of the </w:t>
      </w:r>
      <w:r w:rsidRPr="002E0ACE">
        <w:rPr>
          <w:color w:val="000000" w:themeColor="text1"/>
        </w:rPr>
        <w:t>board acting in a combined capacity</w:t>
      </w:r>
      <w:r>
        <w:rPr>
          <w:color w:val="000000" w:themeColor="text1"/>
        </w:rPr>
        <w:t xml:space="preserve"> and the chairman of the former county election commission shall serve as the chairman of the </w:t>
      </w:r>
      <w:r w:rsidRPr="002E0ACE">
        <w:rPr>
          <w:color w:val="000000" w:themeColor="text1"/>
        </w:rPr>
        <w:t>board acting in a combined capacity</w:t>
      </w:r>
      <w:r w:rsidRPr="006A0A9C">
        <w:rPr>
          <w:i/>
          <w:color w:val="000000" w:themeColor="text1"/>
        </w:rPr>
        <w:t xml:space="preserve"> </w:t>
      </w:r>
      <w:r>
        <w:rPr>
          <w:color w:val="000000" w:themeColor="text1"/>
        </w:rPr>
        <w:t xml:space="preserve">until such time as the Governor has made all the appointments to constitute the </w:t>
      </w:r>
      <w:r w:rsidRPr="002E0ACE">
        <w:rPr>
          <w:color w:val="000000" w:themeColor="text1"/>
        </w:rPr>
        <w:t xml:space="preserve">initial </w:t>
      </w:r>
      <w:r>
        <w:rPr>
          <w:color w:val="000000" w:themeColor="text1"/>
        </w:rPr>
        <w:t xml:space="preserve">combined board pursuant to </w:t>
      </w:r>
      <w:r w:rsidR="009503C5">
        <w:rPr>
          <w:color w:val="000000" w:themeColor="text1"/>
        </w:rPr>
        <w:t>Section</w:t>
      </w:r>
      <w:r>
        <w:rPr>
          <w:color w:val="000000" w:themeColor="text1"/>
        </w:rPr>
        <w:t xml:space="preserve"> 7-5-10(B)(1).  Once the combined board has been fully constituted, the board may elect from among its members a chairman and such officers as it considers desirable, and must also hire a director, pursuant to the provisions of </w:t>
      </w:r>
      <w:r w:rsidR="009503C5">
        <w:rPr>
          <w:color w:val="000000" w:themeColor="text1"/>
        </w:rPr>
        <w:t>Section</w:t>
      </w:r>
      <w:r>
        <w:rPr>
          <w:color w:val="000000" w:themeColor="text1"/>
        </w:rPr>
        <w:t xml:space="preserve"> 7-5-10(B)(5) and (6).</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37EE" w:rsidRPr="00522CE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12.</w:t>
      </w:r>
      <w:r>
        <w:rPr>
          <w:color w:val="000000" w:themeColor="text1"/>
        </w:rPr>
        <w:tab/>
        <w:t>This act takes effect upon approval by the Governor.</w:t>
      </w:r>
    </w:p>
    <w:p w:rsidR="00313B3F" w:rsidRDefault="005E0836" w:rsidP="00C5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1BAA4-80E1-49F9-A8AC-58927D1310CF}"/>
    <w:embedBold r:id="rId2" w:fontKey="{1F17594B-6EBD-466F-A6EA-E85072D82015}"/>
    <w:embedItalic r:id="rId3" w:fontKey="{2920EFF0-C397-4595-AE06-28E3A8A1E3DC}"/>
  </w:font>
  <w:font w:name="Calibri">
    <w:panose1 w:val="020F0502020204030204"/>
    <w:charset w:val="00"/>
    <w:family w:val="swiss"/>
    <w:pitch w:val="variable"/>
    <w:sig w:usb0="E10002FF" w:usb1="4000ACFF" w:usb2="00000009" w:usb3="00000000" w:csb0="0000019F" w:csb1="00000000"/>
    <w:embedRegular r:id="rId4" w:fontKey="{37E7DCE4-BB94-4718-9C35-980893C92D9C}"/>
  </w:font>
  <w:font w:name="Tahoma">
    <w:panose1 w:val="020B0604030504040204"/>
    <w:charset w:val="00"/>
    <w:family w:val="swiss"/>
    <w:pitch w:val="variable"/>
    <w:sig w:usb0="21002A87" w:usb1="80000000" w:usb2="00000008" w:usb3="00000000" w:csb0="000101FF" w:csb1="00000000"/>
    <w:embedRegular r:id="rId5" w:fontKey="{1657238F-D64A-486F-91F5-930DE525A34F}"/>
  </w:font>
  <w:font w:name="Cambria">
    <w:panose1 w:val="02040503050406030204"/>
    <w:charset w:val="00"/>
    <w:family w:val="roman"/>
    <w:pitch w:val="variable"/>
    <w:sig w:usb0="E00002FF" w:usb1="400004FF" w:usb2="00000000" w:usb3="00000000" w:csb0="0000019F" w:csb1="00000000"/>
    <w:embedRegular r:id="rId6" w:fontKey="{9524EFCD-78AC-4827-AFD6-3651E29EBE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C57895">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C578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45093"/>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A57C2"/>
    <w:rsid w:val="005B21E8"/>
    <w:rsid w:val="005B3960"/>
    <w:rsid w:val="005C2FE2"/>
    <w:rsid w:val="005E0836"/>
    <w:rsid w:val="005E2BC9"/>
    <w:rsid w:val="0060177B"/>
    <w:rsid w:val="00605102"/>
    <w:rsid w:val="00612B7E"/>
    <w:rsid w:val="006215AA"/>
    <w:rsid w:val="0062274B"/>
    <w:rsid w:val="006913C9"/>
    <w:rsid w:val="0069470D"/>
    <w:rsid w:val="00706F01"/>
    <w:rsid w:val="00734F00"/>
    <w:rsid w:val="0074129F"/>
    <w:rsid w:val="0074626D"/>
    <w:rsid w:val="00753A39"/>
    <w:rsid w:val="007A70AE"/>
    <w:rsid w:val="007C513C"/>
    <w:rsid w:val="008362E8"/>
    <w:rsid w:val="00870339"/>
    <w:rsid w:val="00874C31"/>
    <w:rsid w:val="00890099"/>
    <w:rsid w:val="008A1768"/>
    <w:rsid w:val="008E37EE"/>
    <w:rsid w:val="008F0F33"/>
    <w:rsid w:val="008F4429"/>
    <w:rsid w:val="009228BA"/>
    <w:rsid w:val="00923010"/>
    <w:rsid w:val="00937000"/>
    <w:rsid w:val="0094021A"/>
    <w:rsid w:val="009503C5"/>
    <w:rsid w:val="009B44AF"/>
    <w:rsid w:val="009C6A0B"/>
    <w:rsid w:val="009E6C32"/>
    <w:rsid w:val="009F0C77"/>
    <w:rsid w:val="009F4DD1"/>
    <w:rsid w:val="00A15FAD"/>
    <w:rsid w:val="00A41684"/>
    <w:rsid w:val="00A529F1"/>
    <w:rsid w:val="00A64E80"/>
    <w:rsid w:val="00A72BCD"/>
    <w:rsid w:val="00A741D9"/>
    <w:rsid w:val="00A833AB"/>
    <w:rsid w:val="00A9741D"/>
    <w:rsid w:val="00AB30E0"/>
    <w:rsid w:val="00AC5A9C"/>
    <w:rsid w:val="00AD4B17"/>
    <w:rsid w:val="00AE3AB9"/>
    <w:rsid w:val="00B412D4"/>
    <w:rsid w:val="00B63149"/>
    <w:rsid w:val="00BA204C"/>
    <w:rsid w:val="00BD77E4"/>
    <w:rsid w:val="00BE3C22"/>
    <w:rsid w:val="00C0345E"/>
    <w:rsid w:val="00C26E7A"/>
    <w:rsid w:val="00C31D03"/>
    <w:rsid w:val="00C3483A"/>
    <w:rsid w:val="00C57895"/>
    <w:rsid w:val="00C74E9D"/>
    <w:rsid w:val="00C82FD3"/>
    <w:rsid w:val="00C92819"/>
    <w:rsid w:val="00CC6B7B"/>
    <w:rsid w:val="00CD2089"/>
    <w:rsid w:val="00D07B74"/>
    <w:rsid w:val="00D73A67"/>
    <w:rsid w:val="00D970A9"/>
    <w:rsid w:val="00DE7781"/>
    <w:rsid w:val="00DF3845"/>
    <w:rsid w:val="00E41911"/>
    <w:rsid w:val="00E92EEF"/>
    <w:rsid w:val="00EC0F5C"/>
    <w:rsid w:val="00EE78C9"/>
    <w:rsid w:val="00F24442"/>
    <w:rsid w:val="00F312CA"/>
    <w:rsid w:val="00F50AE3"/>
    <w:rsid w:val="00F67CF1"/>
    <w:rsid w:val="00F840F0"/>
    <w:rsid w:val="00F862B3"/>
    <w:rsid w:val="00F87D33"/>
    <w:rsid w:val="00FA5F7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E58DB-1F4C-43E0-91E2-015D6C78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2336</Words>
  <Characters>12994</Characters>
  <Application>Microsoft Office Word</Application>
  <DocSecurity>0</DocSecurity>
  <Lines>324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2014-04-15T21:28:00Z</cp:lastPrinted>
  <dcterms:created xsi:type="dcterms:W3CDTF">2014-04-30T22:07:00Z</dcterms:created>
  <dcterms:modified xsi:type="dcterms:W3CDTF">2014-04-30T22:07:00Z</dcterms:modified>
</cp:coreProperties>
</file>