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E03" w:rsidRDefault="00902E03" w:rsidP="00902E03">
      <w:pPr>
        <w:pStyle w:val="BillDots"/>
      </w:pPr>
    </w:p>
    <w:p w:rsidR="00902E03" w:rsidRDefault="00902E03" w:rsidP="00902E03">
      <w:pPr>
        <w:pStyle w:val="Numbersforbill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0FFB">
        <w:rPr>
          <w:color w:val="000000" w:themeColor="text1"/>
          <w:szCs w:val="24"/>
          <w:u w:color="000000" w:themeColor="text1"/>
        </w:rPr>
        <w:t>TO AMEND 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CODE OF LAWS OF SOUTH CAROLINA, 1976, RELATING TO THE </w:t>
      </w:r>
      <w:r>
        <w:rPr>
          <w:color w:val="000000" w:themeColor="text1"/>
          <w:szCs w:val="24"/>
          <w:u w:color="000000" w:themeColor="text1"/>
        </w:rPr>
        <w:t>ADMINISTRATION</w:t>
      </w:r>
      <w:r w:rsidRPr="00260FFB">
        <w:rPr>
          <w:color w:val="000000" w:themeColor="text1"/>
          <w:szCs w:val="24"/>
          <w:u w:color="000000" w:themeColor="text1"/>
        </w:rPr>
        <w:t xml:space="preserve"> OF THE DOCKET BY THE CIRCUIT SOLICITOR IN GENERAL SESSIONS</w:t>
      </w:r>
      <w:r>
        <w:rPr>
          <w:color w:val="000000" w:themeColor="text1"/>
          <w:szCs w:val="24"/>
          <w:u w:color="000000" w:themeColor="text1"/>
        </w:rPr>
        <w:t xml:space="preserve"> COURT, SO AS TO CLARIFY THE ROLE OF THE CIRCUIT SOLICITOR IN THE ADMINISTRATION OF THE GENERAL SESSIONS COURT DOCKET AND PROVIDE THAT THIS ABILITY TO ADMINISTER THE DOCKET SHALL NOT INTERFERE WITH THE COURT</w:t>
      </w:r>
      <w:r w:rsidRPr="00573F08">
        <w:rPr>
          <w:color w:val="000000" w:themeColor="text1"/>
          <w:szCs w:val="24"/>
          <w:u w:color="000000" w:themeColor="text1"/>
        </w:rPr>
        <w:t>’</w:t>
      </w:r>
      <w:r>
        <w:rPr>
          <w:color w:val="000000" w:themeColor="text1"/>
          <w:szCs w:val="24"/>
          <w:u w:color="000000" w:themeColor="text1"/>
        </w:rPr>
        <w:t>S ABILITY TO PROTECT A LITIGANT</w:t>
      </w:r>
      <w:r w:rsidRPr="00573F08">
        <w:rPr>
          <w:color w:val="000000" w:themeColor="text1"/>
          <w:szCs w:val="24"/>
          <w:u w:color="000000" w:themeColor="text1"/>
        </w:rPr>
        <w:t>’</w:t>
      </w:r>
      <w:r>
        <w:rPr>
          <w:color w:val="000000" w:themeColor="text1"/>
          <w:szCs w:val="24"/>
          <w:u w:color="000000" w:themeColor="text1"/>
        </w:rPr>
        <w:t>S RIGHTS</w:t>
      </w:r>
      <w:r w:rsidRPr="00260FFB">
        <w:rPr>
          <w:color w:val="000000" w:themeColor="text1"/>
          <w:szCs w:val="24"/>
          <w:u w:color="000000" w:themeColor="text1"/>
        </w:rPr>
        <w:t>.</w:t>
      </w: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General Assembly finds that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 xml:space="preserve">solicitor must have discretion in choosing how to proceed with a case, and the </w:t>
      </w:r>
      <w:r>
        <w:rPr>
          <w:color w:val="000000" w:themeColor="text1"/>
          <w:szCs w:val="24"/>
          <w:u w:color="000000" w:themeColor="text1"/>
        </w:rPr>
        <w:t xml:space="preserve">circuit </w:t>
      </w:r>
      <w:r w:rsidRPr="00260FFB">
        <w:rPr>
          <w:color w:val="000000" w:themeColor="text1"/>
          <w:szCs w:val="24"/>
          <w:u w:color="000000" w:themeColor="text1"/>
        </w:rPr>
        <w:t>solicitor is the person most knowl</w:t>
      </w:r>
      <w:r>
        <w:rPr>
          <w:color w:val="000000" w:themeColor="text1"/>
          <w:szCs w:val="24"/>
          <w:u w:color="000000" w:themeColor="text1"/>
        </w:rPr>
        <w:t>edgeable about the status of a</w:t>
      </w:r>
      <w:r w:rsidRPr="00260FFB">
        <w:rPr>
          <w:color w:val="000000" w:themeColor="text1"/>
          <w:szCs w:val="24"/>
          <w:u w:color="000000" w:themeColor="text1"/>
        </w:rPr>
        <w:t xml:space="preserve"> c</w:t>
      </w:r>
      <w:r>
        <w:rPr>
          <w:color w:val="000000" w:themeColor="text1"/>
          <w:szCs w:val="24"/>
          <w:u w:color="000000" w:themeColor="text1"/>
        </w:rPr>
        <w:t>ase and its readiness for trial;</w:t>
      </w:r>
      <w:r w:rsidR="00C8560C">
        <w:rPr>
          <w:color w:val="000000" w:themeColor="text1"/>
          <w:szCs w:val="24"/>
          <w:u w:color="000000" w:themeColor="text1"/>
        </w:rPr>
        <w:t xml:space="preserve"> and</w:t>
      </w:r>
    </w:p>
    <w:p w:rsidR="00C8560C" w:rsidRDefault="00C8560C"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bears the burden of proof in every case and should not ordinarily be compelled to call his cas</w:t>
      </w:r>
      <w:r>
        <w:rPr>
          <w:color w:val="000000" w:themeColor="text1"/>
          <w:szCs w:val="24"/>
          <w:u w:color="000000" w:themeColor="text1"/>
        </w:rPr>
        <w:t>e before he is ready to proceed;</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provisions of S</w:t>
      </w:r>
      <w:r w:rsidRPr="00260FFB">
        <w:rPr>
          <w:color w:val="000000" w:themeColor="text1"/>
          <w:szCs w:val="24"/>
          <w:u w:color="000000" w:themeColor="text1"/>
        </w:rPr>
        <w:t>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t>330 represent</w:t>
      </w:r>
      <w:r w:rsidRPr="00260FFB">
        <w:rPr>
          <w:color w:val="000000" w:themeColor="text1"/>
          <w:szCs w:val="24"/>
          <w:u w:color="000000" w:themeColor="text1"/>
        </w:rPr>
        <w:t xml:space="preserve"> the reasonab</w:t>
      </w:r>
      <w:r>
        <w:rPr>
          <w:color w:val="000000" w:themeColor="text1"/>
          <w:szCs w:val="24"/>
          <w:u w:color="000000" w:themeColor="text1"/>
        </w:rPr>
        <w:t>le delegation of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 xml:space="preserve">docket and determining the order in which docketed cases are called to the </w:t>
      </w:r>
      <w:r>
        <w:rPr>
          <w:color w:val="000000" w:themeColor="text1"/>
          <w:szCs w:val="24"/>
          <w:u w:color="000000" w:themeColor="text1"/>
        </w:rPr>
        <w:t>circuit solicitor;</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when exercising a discretionary offi</w:t>
      </w:r>
      <w:r>
        <w:rPr>
          <w:color w:val="000000" w:themeColor="text1"/>
          <w:szCs w:val="24"/>
          <w:u w:color="000000" w:themeColor="text1"/>
        </w:rPr>
        <w:t>cial act such as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docket and determining the order in which docketed cases are called, should not be restrained, coerced, or contr</w:t>
      </w:r>
      <w:r>
        <w:rPr>
          <w:color w:val="000000" w:themeColor="text1"/>
          <w:szCs w:val="24"/>
          <w:u w:color="000000" w:themeColor="text1"/>
        </w:rPr>
        <w:t>olled by a branch of government;</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 xml:space="preserve">Whereas, </w:t>
      </w:r>
      <w:r w:rsidR="00902E03" w:rsidRPr="00260FFB">
        <w:rPr>
          <w:iCs/>
          <w:color w:val="000000" w:themeColor="text1"/>
          <w:szCs w:val="24"/>
          <w:u w:color="000000" w:themeColor="text1"/>
        </w:rPr>
        <w:t>Section 4</w:t>
      </w:r>
      <w:r w:rsidR="00902E03">
        <w:rPr>
          <w:iCs/>
          <w:color w:val="000000" w:themeColor="text1"/>
          <w:szCs w:val="24"/>
          <w:u w:color="000000" w:themeColor="text1"/>
        </w:rPr>
        <w:t>, Article V</w:t>
      </w:r>
      <w:r w:rsidRPr="00260FFB">
        <w:rPr>
          <w:iCs/>
          <w:color w:val="000000" w:themeColor="text1"/>
          <w:szCs w:val="24"/>
          <w:u w:color="000000" w:themeColor="text1"/>
        </w:rPr>
        <w:t xml:space="preserve"> of </w:t>
      </w:r>
      <w:r>
        <w:rPr>
          <w:iCs/>
          <w:color w:val="000000" w:themeColor="text1"/>
          <w:szCs w:val="24"/>
          <w:u w:color="000000" w:themeColor="text1"/>
        </w:rPr>
        <w:t xml:space="preserve">the South Carolina Constitution </w:t>
      </w:r>
      <w:r w:rsidRPr="00260FFB">
        <w:rPr>
          <w:iCs/>
          <w:color w:val="000000" w:themeColor="text1"/>
          <w:szCs w:val="24"/>
          <w:u w:color="000000" w:themeColor="text1"/>
        </w:rPr>
        <w:t>unequivocally states that</w:t>
      </w:r>
      <w:r>
        <w:rPr>
          <w:iCs/>
          <w:color w:val="000000" w:themeColor="text1"/>
          <w:szCs w:val="24"/>
          <w:u w:color="000000" w:themeColor="text1"/>
        </w:rPr>
        <w:t>, subject to the statutory law,</w:t>
      </w:r>
      <w:r w:rsidRPr="00260FFB">
        <w:rPr>
          <w:iCs/>
          <w:color w:val="000000" w:themeColor="text1"/>
          <w:szCs w:val="24"/>
          <w:u w:color="000000" w:themeColor="text1"/>
        </w:rPr>
        <w:t xml:space="preserve"> the Supreme Court</w:t>
      </w:r>
      <w:r>
        <w:rPr>
          <w:iCs/>
          <w:color w:val="000000" w:themeColor="text1"/>
          <w:szCs w:val="24"/>
          <w:u w:color="000000" w:themeColor="text1"/>
        </w:rPr>
        <w:t xml:space="preserve"> </w:t>
      </w:r>
      <w:r w:rsidRPr="00260FFB">
        <w:rPr>
          <w:iCs/>
          <w:color w:val="000000" w:themeColor="text1"/>
          <w:szCs w:val="24"/>
          <w:u w:color="000000" w:themeColor="text1"/>
        </w:rPr>
        <w:t>shall make rules governing the practice and procedure in the courts of the State</w:t>
      </w:r>
      <w:r>
        <w:rPr>
          <w:iCs/>
          <w:color w:val="000000" w:themeColor="text1"/>
          <w:szCs w:val="24"/>
          <w:u w:color="000000" w:themeColor="text1"/>
        </w:rPr>
        <w:t>;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 the trial court retains</w:t>
      </w:r>
      <w:r w:rsidRPr="00260FFB">
        <w:rPr>
          <w:color w:val="000000" w:themeColor="text1"/>
          <w:szCs w:val="24"/>
          <w:u w:color="000000" w:themeColor="text1"/>
        </w:rPr>
        <w:t xml:space="preserve"> the ultimate authority to determine whether a case called by the </w:t>
      </w:r>
      <w:r>
        <w:rPr>
          <w:color w:val="000000" w:themeColor="text1"/>
          <w:szCs w:val="24"/>
          <w:u w:color="000000" w:themeColor="text1"/>
        </w:rPr>
        <w:t xml:space="preserve">circuit </w:t>
      </w:r>
      <w:r w:rsidRPr="00260FFB">
        <w:rPr>
          <w:color w:val="000000" w:themeColor="text1"/>
          <w:szCs w:val="24"/>
          <w:u w:color="000000" w:themeColor="text1"/>
        </w:rPr>
        <w:t>solicitor will be tried at a particular juncture.</w:t>
      </w:r>
    </w:p>
    <w:p w:rsidR="00400019"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r>
      <w:r w:rsidRPr="00260FFB">
        <w:rPr>
          <w:color w:val="000000" w:themeColor="text1"/>
          <w:szCs w:val="24"/>
          <w:u w:color="000000" w:themeColor="text1"/>
        </w:rPr>
        <w:t>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of the 1976 Code is amended to read: </w:t>
      </w: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573F08"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w:t>
      </w:r>
      <w:r>
        <w:rPr>
          <w:color w:val="000000" w:themeColor="text1"/>
          <w:szCs w:val="24"/>
          <w:u w:color="000000" w:themeColor="text1"/>
        </w:rPr>
        <w:noBreakHyphen/>
        <w:t>7</w:t>
      </w:r>
      <w:r>
        <w:rPr>
          <w:color w:val="000000" w:themeColor="text1"/>
          <w:szCs w:val="24"/>
          <w:u w:color="000000" w:themeColor="text1"/>
        </w:rPr>
        <w:noBreakHyphen/>
        <w:t>330.</w:t>
      </w:r>
      <w:r>
        <w:rPr>
          <w:color w:val="000000" w:themeColor="text1"/>
          <w:szCs w:val="24"/>
          <w:u w:color="000000" w:themeColor="text1"/>
        </w:rPr>
        <w:tab/>
      </w:r>
      <w:r w:rsidRPr="00892465">
        <w:rPr>
          <w:color w:val="000000"/>
        </w:rPr>
        <w:t xml:space="preserve">The solicitors shall attend the courts of general sessions for their respective circuits.  Preparation of the dockets for general sessions courts shall be </w:t>
      </w:r>
      <w:r w:rsidRPr="00573F08">
        <w:rPr>
          <w:strike/>
          <w:color w:val="000000"/>
        </w:rPr>
        <w:t>exclusively</w:t>
      </w:r>
      <w:r w:rsidRPr="00892465">
        <w:rPr>
          <w:color w:val="000000"/>
        </w:rPr>
        <w:t xml:space="preserve"> vested in the circuit solicitor and </w:t>
      </w:r>
      <w:r w:rsidRPr="00573F08">
        <w:rPr>
          <w:strike/>
          <w:color w:val="000000"/>
        </w:rPr>
        <w:t>the solicitor</w:t>
      </w:r>
      <w:r>
        <w:rPr>
          <w:color w:val="000000"/>
        </w:rPr>
        <w:t xml:space="preserve"> </w:t>
      </w:r>
      <w:r>
        <w:rPr>
          <w:color w:val="000000"/>
          <w:u w:val="single"/>
        </w:rPr>
        <w:t>he</w:t>
      </w:r>
      <w:r w:rsidRPr="00892465">
        <w:rPr>
          <w:color w:val="000000"/>
        </w:rPr>
        <w:t xml:space="preserve">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r>
        <w:rPr>
          <w:color w:val="000000"/>
        </w:rPr>
        <w:t xml:space="preserve">  </w:t>
      </w:r>
      <w:r>
        <w:rPr>
          <w:color w:val="000000"/>
          <w:u w:val="single"/>
        </w:rPr>
        <w:t>Notwithstanding the provisions of this section, the circuit solicitor</w:t>
      </w:r>
      <w:r w:rsidRPr="00573F08">
        <w:rPr>
          <w:color w:val="000000"/>
          <w:u w:val="single"/>
        </w:rPr>
        <w:t>’</w:t>
      </w:r>
      <w:r>
        <w:rPr>
          <w:color w:val="000000"/>
          <w:u w:val="single"/>
        </w:rPr>
        <w:t>s ability to administer the general sessions court docket shall not interfere with the court</w:t>
      </w:r>
      <w:r w:rsidRPr="00573F08">
        <w:rPr>
          <w:color w:val="000000"/>
          <w:u w:val="single"/>
        </w:rPr>
        <w:t>’</w:t>
      </w:r>
      <w:r>
        <w:rPr>
          <w:color w:val="000000"/>
          <w:u w:val="single"/>
        </w:rPr>
        <w:t>s ability to safeguard a litigant</w:t>
      </w:r>
      <w:r w:rsidRPr="00573F08">
        <w:rPr>
          <w:color w:val="000000"/>
          <w:u w:val="single"/>
        </w:rPr>
        <w:t>’</w:t>
      </w:r>
      <w:r>
        <w:rPr>
          <w:color w:val="000000"/>
          <w:u w:val="single"/>
        </w:rPr>
        <w:t>s rights.</w:t>
      </w:r>
      <w:r>
        <w:rPr>
          <w:color w:val="000000"/>
        </w:rPr>
        <w:t>”</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B282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t>This act takes effect upon approval by the Governor.</w:t>
      </w:r>
    </w:p>
    <w:p w:rsidR="00621B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B1A" w:rsidRDefault="00621B1A" w:rsidP="00621B1A">
      <w:pPr>
        <w:suppressAutoHyphens/>
      </w:pPr>
    </w:p>
    <w:sectPr w:rsidR="00621B1A" w:rsidSect="00621B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82B" w:rsidRDefault="004B282B" w:rsidP="009F0C77">
      <w:r>
        <w:separator/>
      </w:r>
    </w:p>
  </w:endnote>
  <w:endnote w:type="continuationSeparator" w:id="0">
    <w:p w:rsidR="004B282B" w:rsidRDefault="004B2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C9C4A0-0A73-4413-B1BB-83D6E261FD00}"/>
    <w:embedBold r:id="rId2" w:fontKey="{D880B5D5-F3E4-45DE-9434-36ECC3FB936D}"/>
    <w:embedItalic r:id="rId3" w:fontKey="{B01F7995-FE44-4132-8C9F-23236BDD7A35}"/>
  </w:font>
  <w:font w:name="Calibri">
    <w:panose1 w:val="020F0502020204030204"/>
    <w:charset w:val="00"/>
    <w:family w:val="swiss"/>
    <w:pitch w:val="variable"/>
    <w:sig w:usb0="E10002FF" w:usb1="4000ACFF" w:usb2="00000009" w:usb3="00000000" w:csb0="0000019F" w:csb1="00000000"/>
    <w:embedRegular r:id="rId4" w:fontKey="{408A5FEA-9CE7-47AA-A95D-7561B4881A42}"/>
  </w:font>
  <w:font w:name="Tahoma">
    <w:panose1 w:val="020B0604030504040204"/>
    <w:charset w:val="00"/>
    <w:family w:val="swiss"/>
    <w:pitch w:val="variable"/>
    <w:sig w:usb0="21002A87" w:usb1="80000000" w:usb2="00000008" w:usb3="00000000" w:csb0="000101FF" w:csb1="00000000"/>
    <w:embedRegular r:id="rId5" w:fontKey="{3F1A18B6-5F9E-4326-A1E0-4AE4CEC717DF}"/>
  </w:font>
  <w:font w:name="Cambria">
    <w:panose1 w:val="02040503050406030204"/>
    <w:charset w:val="00"/>
    <w:family w:val="roman"/>
    <w:pitch w:val="variable"/>
    <w:sig w:usb0="E00002FF" w:usb1="400004FF" w:usb2="00000000" w:usb3="00000000" w:csb0="0000019F" w:csb1="00000000"/>
    <w:embedRegular r:id="rId6" w:fontKey="{29FE1479-E125-4795-8C99-A4A434954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99" w:rsidRPr="00621B1A" w:rsidRDefault="00621B1A" w:rsidP="00621B1A">
    <w:pPr>
      <w:pStyle w:val="Footer"/>
      <w:tabs>
        <w:tab w:val="clear" w:pos="4680"/>
        <w:tab w:val="clear" w:pos="9360"/>
        <w:tab w:val="center" w:pos="2995"/>
      </w:tabs>
      <w:spacing w:before="120"/>
    </w:pPr>
    <w:r>
      <w:t>[3247]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82B" w:rsidRDefault="004B282B" w:rsidP="009F0C77">
      <w:r>
        <w:separator/>
      </w:r>
    </w:p>
  </w:footnote>
  <w:footnote w:type="continuationSeparator" w:id="0">
    <w:p w:rsidR="004B282B" w:rsidRDefault="004B2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3AHB13"/>
    <w:docVar w:name="CoverBillType" w:val="b"/>
    <w:docVar w:name="docpath" w:val="L:\Council\bills\MS\7073AHB13.DOCX"/>
    <w:docVar w:name="dvBillNumber" w:val="3247"/>
    <w:docVar w:name="dvBillNumberPrefix" w:val="H. "/>
    <w:docVar w:name="dvOriginalBody" w:val="House"/>
    <w:docVar w:name="dvSteno" w:val="MS"/>
    <w:docVar w:name="NameofBody" w:val="h"/>
    <w:docVar w:name="vgroup2" w:val="Council"/>
  </w:docVars>
  <w:rsids>
    <w:rsidRoot w:val="00085475"/>
    <w:rsid w:val="00011869"/>
    <w:rsid w:val="00085475"/>
    <w:rsid w:val="000E1785"/>
    <w:rsid w:val="000F40FA"/>
    <w:rsid w:val="0010776B"/>
    <w:rsid w:val="00133E66"/>
    <w:rsid w:val="001435A3"/>
    <w:rsid w:val="001D08F2"/>
    <w:rsid w:val="001D525B"/>
    <w:rsid w:val="001D7F4F"/>
    <w:rsid w:val="002050B7"/>
    <w:rsid w:val="002321B6"/>
    <w:rsid w:val="00250967"/>
    <w:rsid w:val="002543C8"/>
    <w:rsid w:val="00284AAE"/>
    <w:rsid w:val="002E5912"/>
    <w:rsid w:val="00301B21"/>
    <w:rsid w:val="00314C8B"/>
    <w:rsid w:val="00325348"/>
    <w:rsid w:val="0032732C"/>
    <w:rsid w:val="00336AD0"/>
    <w:rsid w:val="0037079A"/>
    <w:rsid w:val="003D01E8"/>
    <w:rsid w:val="003E5288"/>
    <w:rsid w:val="003F6D79"/>
    <w:rsid w:val="00400019"/>
    <w:rsid w:val="0041760A"/>
    <w:rsid w:val="00417C01"/>
    <w:rsid w:val="004809EE"/>
    <w:rsid w:val="00482DF8"/>
    <w:rsid w:val="004B282B"/>
    <w:rsid w:val="004E7D54"/>
    <w:rsid w:val="005273C6"/>
    <w:rsid w:val="00530A69"/>
    <w:rsid w:val="00545593"/>
    <w:rsid w:val="00577C6C"/>
    <w:rsid w:val="005C2FE2"/>
    <w:rsid w:val="005E2BC9"/>
    <w:rsid w:val="00605102"/>
    <w:rsid w:val="006215AA"/>
    <w:rsid w:val="00621B1A"/>
    <w:rsid w:val="006913C9"/>
    <w:rsid w:val="0069470D"/>
    <w:rsid w:val="00734F00"/>
    <w:rsid w:val="007A1577"/>
    <w:rsid w:val="007A70AE"/>
    <w:rsid w:val="008073A0"/>
    <w:rsid w:val="008362E8"/>
    <w:rsid w:val="008A1768"/>
    <w:rsid w:val="008F0F33"/>
    <w:rsid w:val="008F4429"/>
    <w:rsid w:val="00902E0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60C"/>
    <w:rsid w:val="00C92819"/>
    <w:rsid w:val="00C92899"/>
    <w:rsid w:val="00CA78D1"/>
    <w:rsid w:val="00CC6B7B"/>
    <w:rsid w:val="00CD2089"/>
    <w:rsid w:val="00D73A67"/>
    <w:rsid w:val="00D970A9"/>
    <w:rsid w:val="00DF3845"/>
    <w:rsid w:val="00E41911"/>
    <w:rsid w:val="00E92EEF"/>
    <w:rsid w:val="00EA1208"/>
    <w:rsid w:val="00EB6D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019"/>
    <w:rPr>
      <w:rFonts w:ascii="Tahoma" w:hAnsi="Tahoma" w:cs="Tahoma"/>
      <w:sz w:val="16"/>
      <w:szCs w:val="16"/>
    </w:rPr>
  </w:style>
  <w:style w:type="character" w:customStyle="1" w:styleId="BalloonTextChar">
    <w:name w:val="Balloon Text Char"/>
    <w:basedOn w:val="DefaultParagraphFont"/>
    <w:link w:val="BalloonText"/>
    <w:uiPriority w:val="99"/>
    <w:semiHidden/>
    <w:rsid w:val="004000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9B6BA-BAFC-4C75-A4C9-A8CB38DB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2282</Characters>
  <Application>Microsoft Office Word</Application>
  <DocSecurity>0</DocSecurity>
  <Lines>19</Lines>
  <Paragraphs>5</Paragraphs>
  <ScaleCrop>false</ScaleCrop>
  <Company>LPITS</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2013-01-08T17:24:00Z</cp:lastPrinted>
  <dcterms:created xsi:type="dcterms:W3CDTF">2013-01-09T19:43:00Z</dcterms:created>
  <dcterms:modified xsi:type="dcterms:W3CDTF">2013-01-09T19:43:00Z</dcterms:modified>
</cp:coreProperties>
</file>