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303" w:rsidRDefault="00DC6303" w:rsidP="00C628FD">
      <w:pPr>
        <w:pStyle w:val="BillDots0"/>
      </w:pPr>
      <w:r>
        <w:rPr>
          <w:strike/>
        </w:rPr>
        <w:t>Indicates Matter Stricken</w:t>
      </w:r>
    </w:p>
    <w:p w:rsidR="00DC6303" w:rsidRPr="00DC6303" w:rsidRDefault="00DC6303" w:rsidP="00C628FD">
      <w:pPr>
        <w:pStyle w:val="BillDots0"/>
      </w:pPr>
      <w:r>
        <w:rPr>
          <w:u w:val="single"/>
        </w:rPr>
        <w:t>Indicates New Matter</w:t>
      </w:r>
    </w:p>
    <w:p w:rsidR="00DC6303" w:rsidRDefault="00DC6303" w:rsidP="00C628FD">
      <w:pPr>
        <w:pStyle w:val="BillDots0"/>
      </w:pPr>
    </w:p>
    <w:p w:rsidR="00B7544B" w:rsidRDefault="00B7544B" w:rsidP="00DC6303">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B7544B" w:rsidRDefault="00B7544B" w:rsidP="00DC6303">
      <w:pPr>
        <w:pStyle w:val="BillDots0"/>
        <w:tabs>
          <w:tab w:val="clear" w:pos="216"/>
          <w:tab w:val="clear" w:pos="432"/>
          <w:tab w:val="clear" w:pos="648"/>
          <w:tab w:val="clear" w:pos="864"/>
          <w:tab w:val="clear" w:pos="1080"/>
          <w:tab w:val="clear" w:pos="1296"/>
          <w:tab w:val="clear" w:pos="5904"/>
          <w:tab w:val="right" w:pos="5933"/>
        </w:tabs>
      </w:pPr>
      <w:r>
        <w:t>March 13, 2014</w:t>
      </w:r>
    </w:p>
    <w:p w:rsidR="00B7544B" w:rsidRDefault="00B7544B" w:rsidP="00DC6303">
      <w:pPr>
        <w:pStyle w:val="BillDots0"/>
        <w:tabs>
          <w:tab w:val="clear" w:pos="216"/>
          <w:tab w:val="clear" w:pos="432"/>
          <w:tab w:val="clear" w:pos="648"/>
          <w:tab w:val="clear" w:pos="864"/>
          <w:tab w:val="clear" w:pos="1080"/>
          <w:tab w:val="clear" w:pos="1296"/>
          <w:tab w:val="clear" w:pos="5904"/>
          <w:tab w:val="right" w:pos="5933"/>
        </w:tabs>
      </w:pPr>
    </w:p>
    <w:p w:rsidR="00DC6303" w:rsidRPr="00DC6303" w:rsidRDefault="00DC6303" w:rsidP="00DC6303">
      <w:pPr>
        <w:pStyle w:val="BillDots0"/>
        <w:tabs>
          <w:tab w:val="clear" w:pos="216"/>
          <w:tab w:val="clear" w:pos="432"/>
          <w:tab w:val="clear" w:pos="648"/>
          <w:tab w:val="clear" w:pos="864"/>
          <w:tab w:val="clear" w:pos="1080"/>
          <w:tab w:val="clear" w:pos="1296"/>
          <w:tab w:val="clear" w:pos="5904"/>
          <w:tab w:val="right" w:pos="5933"/>
        </w:tabs>
      </w:pPr>
      <w:r>
        <w:tab/>
      </w:r>
      <w:r>
        <w:rPr>
          <w:b/>
          <w:sz w:val="36"/>
        </w:rPr>
        <w:t>S. 511</w:t>
      </w:r>
    </w:p>
    <w:p w:rsidR="00DC6303" w:rsidRDefault="00DC6303" w:rsidP="00C628FD">
      <w:pPr>
        <w:pStyle w:val="BillDots0"/>
      </w:pPr>
    </w:p>
    <w:p w:rsidR="00DC6303" w:rsidRDefault="00DC6303" w:rsidP="00DC6303">
      <w:pPr>
        <w:pStyle w:val="BillDots0"/>
        <w:jc w:val="center"/>
      </w:pPr>
      <w:r>
        <w:t xml:space="preserve">Introduced by </w:t>
      </w:r>
      <w:r w:rsidRPr="00AD2F31">
        <w:t>Senator Campsen</w:t>
      </w:r>
    </w:p>
    <w:p w:rsidR="00DC6303" w:rsidRDefault="00DC6303" w:rsidP="00C628FD">
      <w:pPr>
        <w:pStyle w:val="BillDots0"/>
      </w:pPr>
    </w:p>
    <w:p w:rsidR="00DC6303" w:rsidRDefault="00B7544B" w:rsidP="00C628FD">
      <w:pPr>
        <w:pStyle w:val="BillDots0"/>
      </w:pPr>
      <w:r>
        <w:t>S. Printed 3/13</w:t>
      </w:r>
      <w:r w:rsidR="00DC6303">
        <w:t>/14--S.</w:t>
      </w:r>
    </w:p>
    <w:p w:rsidR="00DC6303" w:rsidRDefault="00DC6303" w:rsidP="00C628FD">
      <w:pPr>
        <w:pStyle w:val="BillDots0"/>
      </w:pPr>
      <w:r>
        <w:t>Read the first time March 12, 2013.</w:t>
      </w:r>
    </w:p>
    <w:p w:rsidR="00DC6303" w:rsidRPr="00DC6303" w:rsidRDefault="00DC6303" w:rsidP="00DC6303">
      <w:pPr>
        <w:pStyle w:val="BillDots0"/>
        <w:jc w:val="center"/>
      </w:pPr>
      <w:r>
        <w:rPr>
          <w:u w:val="single"/>
        </w:rPr>
        <w:t>            </w:t>
      </w:r>
    </w:p>
    <w:p w:rsidR="00DC6303" w:rsidRPr="00DC6303" w:rsidRDefault="00DC6303" w:rsidP="00C628FD">
      <w:pPr>
        <w:pStyle w:val="BillDots0"/>
        <w:sectPr w:rsidR="00DC6303" w:rsidRPr="00DC6303" w:rsidSect="00DC63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28FD" w:rsidRDefault="00C628FD" w:rsidP="00C628FD">
      <w:pPr>
        <w:pStyle w:val="BillDots0"/>
      </w:pPr>
    </w:p>
    <w:p w:rsidR="00C628FD" w:rsidRDefault="00C628FD" w:rsidP="00C628FD">
      <w:pPr>
        <w:pStyle w:val="Numbersforbill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25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30E5E">
        <w:rPr>
          <w:color w:val="000000" w:themeColor="text1"/>
          <w:u w:color="000000" w:themeColor="text1"/>
        </w:rPr>
        <w:t>TO AMEND SECTION 12</w:t>
      </w:r>
      <w:r>
        <w:rPr>
          <w:color w:val="000000" w:themeColor="text1"/>
          <w:u w:color="000000" w:themeColor="text1"/>
        </w:rPr>
        <w:noBreakHyphen/>
      </w:r>
      <w:r w:rsidRPr="00130E5E">
        <w:rPr>
          <w:color w:val="000000" w:themeColor="text1"/>
          <w:u w:color="000000" w:themeColor="text1"/>
        </w:rPr>
        <w:t>43</w:t>
      </w:r>
      <w:r>
        <w:rPr>
          <w:color w:val="000000" w:themeColor="text1"/>
          <w:u w:color="000000" w:themeColor="text1"/>
        </w:rPr>
        <w:noBreakHyphen/>
      </w:r>
      <w:r w:rsidRPr="00130E5E">
        <w:rPr>
          <w:color w:val="000000" w:themeColor="text1"/>
          <w:u w:color="000000" w:themeColor="text1"/>
        </w:rPr>
        <w:t>220, AS AMENDED, CODE OF LAWS OF SOUTH CAROLINA, 1976, RELATING TO THE FOUR PERCENT SPECIAL ASSESSMENT RATIO, SO AS TO PROVIDE THAT AN ELIGIBILITY PROVISION REQUIRING A CERTAIN OWNERSHIP PERCENTAGE DOES NOT APPLY IF THE PROPERTY IS HELD BY A TRUST, FAMILY LIMITED PARTNERSHIP, OR LIMITED LIABILITY COMPANY UNDER CERTAIN SITUATIONS.</w:t>
      </w:r>
    </w:p>
    <w:p w:rsidR="00B7544B" w:rsidRDefault="00B7544B"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5B6" w:rsidRDefault="00712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125B6" w:rsidRDefault="00712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SECTION</w:t>
      </w:r>
      <w:r w:rsidRPr="00483FF2">
        <w:rPr>
          <w:color w:val="000000" w:themeColor="text1"/>
          <w:u w:color="000000" w:themeColor="text1"/>
        </w:rPr>
        <w:tab/>
        <w:t>1.</w:t>
      </w:r>
      <w:r>
        <w:rPr>
          <w:color w:val="000000" w:themeColor="text1"/>
          <w:u w:color="000000" w:themeColor="text1"/>
        </w:rPr>
        <w:tab/>
      </w:r>
      <w:r>
        <w:rPr>
          <w:color w:val="000000" w:themeColor="text1"/>
          <w:u w:color="000000" w:themeColor="text1"/>
        </w:rPr>
        <w:tab/>
      </w:r>
      <w:r w:rsidRPr="00483FF2">
        <w:rPr>
          <w:color w:val="000000" w:themeColor="text1"/>
          <w:u w:color="000000" w:themeColor="text1"/>
        </w:rPr>
        <w:t>A.</w:t>
      </w:r>
      <w:r>
        <w:rPr>
          <w:color w:val="000000" w:themeColor="text1"/>
          <w:u w:color="000000" w:themeColor="text1"/>
        </w:rPr>
        <w:tab/>
      </w:r>
      <w:r w:rsidRPr="00483FF2">
        <w:rPr>
          <w:color w:val="000000" w:themeColor="text1"/>
          <w:u w:color="000000" w:themeColor="text1"/>
        </w:rPr>
        <w:tab/>
        <w:t>Section 12</w:t>
      </w:r>
      <w:r w:rsidRPr="00483FF2">
        <w:rPr>
          <w:color w:val="000000" w:themeColor="text1"/>
          <w:u w:color="000000" w:themeColor="text1"/>
        </w:rPr>
        <w:noBreakHyphen/>
        <w:t>43</w:t>
      </w:r>
      <w:r w:rsidRPr="00483FF2">
        <w:rPr>
          <w:color w:val="000000" w:themeColor="text1"/>
          <w:u w:color="000000" w:themeColor="text1"/>
        </w:rPr>
        <w:noBreakHyphen/>
        <w:t>220(c)(8) of the 1976 Code, as added by Act 179 of 2012, is amended to read:</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t>“(8)(i)</w:t>
      </w:r>
      <w:r w:rsidRPr="00483FF2">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percent assessment ratio is a percentage of that value equal to the individual’s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sidRPr="00483FF2">
        <w:rPr>
          <w:color w:val="000000" w:themeColor="text1"/>
          <w:u w:color="000000" w:themeColor="text1"/>
        </w:rPr>
        <w:noBreakHyphen/>
        <w:t>37</w:t>
      </w:r>
      <w:r w:rsidRPr="00483FF2">
        <w:rPr>
          <w:color w:val="000000" w:themeColor="text1"/>
          <w:u w:color="000000" w:themeColor="text1"/>
        </w:rPr>
        <w:noBreakHyphen/>
        <w:t xml:space="preserve">220(B)(47) </w:t>
      </w:r>
      <w:r w:rsidRPr="00483FF2">
        <w:rPr>
          <w:color w:val="000000" w:themeColor="text1"/>
          <w:u w:color="000000" w:themeColor="text1"/>
        </w:rPr>
        <w:lastRenderedPageBreak/>
        <w:t xml:space="preserve">applies only to value attributable to the taxpayer’s ownership interest. </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t>(ii)</w:t>
      </w:r>
      <w:r w:rsidRPr="00483FF2">
        <w:rPr>
          <w:color w:val="000000" w:themeColor="text1"/>
          <w:u w:color="000000" w:themeColor="text1"/>
        </w:rPr>
        <w:tab/>
        <w:t xml:space="preserve">Notwithstanding </w:t>
      </w:r>
      <w:r w:rsidRPr="00483FF2">
        <w:rPr>
          <w:strike/>
          <w:color w:val="000000" w:themeColor="text1"/>
          <w:u w:color="000000" w:themeColor="text1"/>
        </w:rPr>
        <w:t>subitem</w:t>
      </w:r>
      <w:r w:rsidRPr="00483FF2">
        <w:rPr>
          <w:color w:val="000000" w:themeColor="text1"/>
          <w:u w:color="000000" w:themeColor="text1"/>
        </w:rPr>
        <w:t xml:space="preserve"> </w:t>
      </w:r>
      <w:r w:rsidRPr="00483FF2">
        <w:rPr>
          <w:color w:val="000000" w:themeColor="text1"/>
          <w:u w:val="single" w:color="000000" w:themeColor="text1"/>
        </w:rPr>
        <w:t>subsubitem</w:t>
      </w:r>
      <w:r w:rsidRPr="00483FF2">
        <w:rPr>
          <w:color w:val="000000" w:themeColor="text1"/>
          <w:u w:color="000000" w:themeColor="text1"/>
        </w:rPr>
        <w:t xml:space="preserve"> (i), for ownership interests in residential property created by deed if the interest in the property has not already transferred by operation of law, an applicant may qualify for the four percent assessment ratio on the entire value of the property if the applicant: </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t>(A)</w:t>
      </w:r>
      <w:r w:rsidRPr="00483FF2">
        <w:rPr>
          <w:color w:val="000000" w:themeColor="text1"/>
          <w:u w:color="000000" w:themeColor="text1"/>
        </w:rPr>
        <w:tab/>
        <w:t>owns at least a twenty</w:t>
      </w:r>
      <w:r w:rsidRPr="00483FF2">
        <w:rPr>
          <w:color w:val="000000" w:themeColor="text1"/>
          <w:u w:color="000000" w:themeColor="text1"/>
        </w:rPr>
        <w:noBreakHyphen/>
        <w:t>five percent interest in the subject property with immediate family members;</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t>(B)</w:t>
      </w:r>
      <w:r w:rsidRPr="00483FF2">
        <w:rPr>
          <w:color w:val="000000" w:themeColor="text1"/>
          <w:u w:color="000000" w:themeColor="text1"/>
        </w:rPr>
        <w:tab/>
        <w:t xml:space="preserve">is not a member of a household currently receiving the four percent assessment ratio on another property;  and </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t>(C)</w:t>
      </w:r>
      <w:r w:rsidRPr="00483FF2">
        <w:rPr>
          <w:color w:val="000000" w:themeColor="text1"/>
          <w:u w:color="000000" w:themeColor="text1"/>
        </w:rPr>
        <w:tab/>
        <w:t xml:space="preserve">otherwise qualifies for the four percent assessment ratio. </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(iii)</w:t>
      </w:r>
      <w:r w:rsidRPr="00483FF2">
        <w:rPr>
          <w:color w:val="000000" w:themeColor="text1"/>
          <w:u w:color="000000" w:themeColor="text1"/>
        </w:rPr>
        <w:tab/>
      </w:r>
      <w:r w:rsidRPr="00483FF2">
        <w:rPr>
          <w:color w:val="000000" w:themeColor="text1"/>
          <w:u w:val="single" w:color="000000" w:themeColor="text1"/>
        </w:rPr>
        <w:t>This subitem (8) does not apply to property held exclusively:</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(A)</w:t>
      </w:r>
      <w:r w:rsidRPr="00483FF2">
        <w:rPr>
          <w:color w:val="000000" w:themeColor="text1"/>
          <w:u w:color="000000" w:themeColor="text1"/>
        </w:rPr>
        <w:tab/>
      </w:r>
      <w:r w:rsidRPr="00483FF2">
        <w:rPr>
          <w:color w:val="000000" w:themeColor="text1"/>
          <w:u w:val="single" w:color="000000" w:themeColor="text1"/>
        </w:rPr>
        <w:t>by an applicant, or the applicant and the applicant’s spouse;</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(B)</w:t>
      </w:r>
      <w:r w:rsidRPr="00483FF2">
        <w:rPr>
          <w:color w:val="000000" w:themeColor="text1"/>
          <w:u w:color="000000" w:themeColor="text1"/>
        </w:rPr>
        <w:tab/>
      </w:r>
      <w:r w:rsidRPr="00483FF2">
        <w:rPr>
          <w:color w:val="000000" w:themeColor="text1"/>
          <w:u w:val="single" w:color="000000" w:themeColor="text1"/>
        </w:rPr>
        <w:t>by a trust if the person claiming the special four percent assessment ratio is the grantor or settlor of the trust, and the only beneficiaries of the trust are the grantor or settlor and any parent, spouse, child, grandchild, or sibli</w:t>
      </w:r>
      <w:r>
        <w:rPr>
          <w:color w:val="000000" w:themeColor="text1"/>
          <w:u w:val="single" w:color="000000" w:themeColor="text1"/>
        </w:rPr>
        <w:t>ng of the grantor or settlor;</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(C)</w:t>
      </w:r>
      <w:r w:rsidRPr="00483FF2">
        <w:rPr>
          <w:color w:val="000000" w:themeColor="text1"/>
          <w:u w:color="000000" w:themeColor="text1"/>
        </w:rPr>
        <w:tab/>
      </w:r>
      <w:r w:rsidRPr="00483FF2">
        <w:rPr>
          <w:color w:val="000000" w:themeColor="text1"/>
          <w:u w:val="single" w:color="000000" w:themeColor="text1"/>
        </w:rPr>
        <w:t>by a family limited partnership if the person claiming the special four percent assessment ratio transferred the subject property to the partnership, and the only members of the partnership are the person and the person’s parents, spouse, children, grandchildren, or siblings;</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(D)</w:t>
      </w:r>
      <w:r w:rsidRPr="00483FF2">
        <w:rPr>
          <w:color w:val="000000" w:themeColor="text1"/>
          <w:u w:color="000000" w:themeColor="text1"/>
        </w:rPr>
        <w:tab/>
      </w:r>
      <w:r w:rsidRPr="00483FF2">
        <w:rPr>
          <w:color w:val="000000" w:themeColor="text1"/>
          <w:u w:val="single" w:color="000000" w:themeColor="text1"/>
        </w:rPr>
        <w:t>by a limited liability company if the person claiming the special four percent assessment ratio transferred the subject property to the limited liability company, and the only members of the limited liability company are the person and the person’s parents, spouse, children, grandchildren</w:t>
      </w:r>
      <w:r>
        <w:rPr>
          <w:color w:val="000000" w:themeColor="text1"/>
          <w:u w:val="single" w:color="000000" w:themeColor="text1"/>
        </w:rPr>
        <w:t>,</w:t>
      </w:r>
      <w:r w:rsidRPr="00483FF2">
        <w:rPr>
          <w:color w:val="000000" w:themeColor="text1"/>
          <w:u w:val="single" w:color="000000" w:themeColor="text1"/>
        </w:rPr>
        <w:t xml:space="preserve"> or siblings; or</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(E)</w:t>
      </w:r>
      <w:r w:rsidRPr="00483FF2">
        <w:rPr>
          <w:color w:val="000000" w:themeColor="text1"/>
          <w:u w:color="000000" w:themeColor="text1"/>
        </w:rPr>
        <w:tab/>
      </w:r>
      <w:r w:rsidRPr="00483FF2">
        <w:rPr>
          <w:color w:val="000000" w:themeColor="text1"/>
          <w:u w:val="single" w:color="000000" w:themeColor="text1"/>
        </w:rPr>
        <w:t>by any combination thereof.</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val="single" w:color="000000" w:themeColor="text1"/>
        </w:rPr>
        <w:t>The exception contained in this subsubitem (iii) does not apply if the applicant does not otherwise qualify for the four percent assessment ratio, including the requirement that the applicant, nor any member of the applicant’s household, claim the four percent assessment ratio on another residence.</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t>For purposes of this subitem, ‘immediate family member’ means a parent, child, or sibling.”</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B.</w:t>
      </w:r>
      <w:r w:rsidRPr="00483FF2">
        <w:rPr>
          <w:color w:val="000000" w:themeColor="text1"/>
          <w:u w:color="000000" w:themeColor="text1"/>
        </w:rPr>
        <w:tab/>
      </w:r>
      <w:r>
        <w:rPr>
          <w:color w:val="000000" w:themeColor="text1"/>
          <w:u w:color="000000" w:themeColor="text1"/>
        </w:rPr>
        <w:tab/>
      </w:r>
      <w:r w:rsidRPr="00483FF2">
        <w:rPr>
          <w:color w:val="000000" w:themeColor="text1"/>
          <w:u w:color="000000" w:themeColor="text1"/>
        </w:rPr>
        <w:t xml:space="preserve">This SECTION takes effect upon approval by the Governor and applies to property tax years beginning after 2011.  If the </w:t>
      </w:r>
      <w:r w:rsidRPr="00483FF2">
        <w:rPr>
          <w:color w:val="000000" w:themeColor="text1"/>
          <w:u w:color="000000" w:themeColor="text1"/>
        </w:rPr>
        <w:lastRenderedPageBreak/>
        <w:t>property tax assessor determines that a person denied the four percent special assessment ratio in property tax year 2012 now qualifies for in property tax year 2012 pursuant to this act, the person must be refunded any property taxes paid in excess of the amount owed.</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SECTION</w:t>
      </w:r>
      <w:r w:rsidRPr="00483FF2">
        <w:rPr>
          <w:color w:val="000000" w:themeColor="text1"/>
          <w:u w:color="000000" w:themeColor="text1"/>
        </w:rPr>
        <w:tab/>
        <w:t>2.</w:t>
      </w:r>
      <w:r w:rsidRPr="00483FF2">
        <w:rPr>
          <w:color w:val="000000" w:themeColor="text1"/>
          <w:u w:color="000000" w:themeColor="text1"/>
        </w:rPr>
        <w:tab/>
        <w:t>Section 12</w:t>
      </w:r>
      <w:r w:rsidRPr="00483FF2">
        <w:rPr>
          <w:color w:val="000000" w:themeColor="text1"/>
          <w:u w:color="000000" w:themeColor="text1"/>
        </w:rPr>
        <w:noBreakHyphen/>
        <w:t>43</w:t>
      </w:r>
      <w:r w:rsidRPr="00483FF2">
        <w:rPr>
          <w:color w:val="000000" w:themeColor="text1"/>
          <w:u w:color="000000" w:themeColor="text1"/>
        </w:rPr>
        <w:noBreakHyphen/>
        <w:t>220(c)(1) of the 1976 Code is amended to read:</w:t>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t>“(c)(1)</w:t>
      </w:r>
      <w:r w:rsidRPr="00483FF2">
        <w:rPr>
          <w:color w:val="000000" w:themeColor="text1"/>
          <w:u w:color="000000" w:themeColor="text1"/>
        </w:rPr>
        <w:tab/>
        <w:t xml:space="preserve">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of the residence, the assessment for the residence is at the same 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w:t>
      </w:r>
      <w:r w:rsidRPr="00483FF2">
        <w:rPr>
          <w:color w:val="000000" w:themeColor="text1"/>
          <w:u w:val="single" w:color="000000" w:themeColor="text1"/>
        </w:rPr>
        <w:t>However, if the person claiming the four percent assessment rati</w:t>
      </w:r>
      <w:r>
        <w:rPr>
          <w:color w:val="000000" w:themeColor="text1"/>
          <w:u w:val="single" w:color="000000" w:themeColor="text1"/>
        </w:rPr>
        <w:t xml:space="preserve">o resides in the mobile home or single family </w:t>
      </w:r>
      <w:r w:rsidRPr="00483FF2">
        <w:rPr>
          <w:color w:val="000000" w:themeColor="text1"/>
          <w:u w:val="single" w:color="000000" w:themeColor="text1"/>
        </w:rPr>
        <w:t xml:space="preserve">residence and only rents </w:t>
      </w:r>
      <w:r>
        <w:rPr>
          <w:color w:val="000000" w:themeColor="text1"/>
          <w:u w:val="single" w:color="000000" w:themeColor="text1"/>
        </w:rPr>
        <w:t xml:space="preserve">a portion of the mobile home or single family </w:t>
      </w:r>
      <w:r w:rsidRPr="00483FF2">
        <w:rPr>
          <w:color w:val="000000" w:themeColor="text1"/>
          <w:u w:val="single" w:color="000000" w:themeColor="text1"/>
        </w:rPr>
        <w:t>residence to another individual as a residence, the foregoing provision does not apply and the four percent assessment ratio must be appli</w:t>
      </w:r>
      <w:r>
        <w:rPr>
          <w:color w:val="000000" w:themeColor="text1"/>
          <w:u w:val="single" w:color="000000" w:themeColor="text1"/>
        </w:rPr>
        <w:t xml:space="preserve">ed to the entire mobile home or single family </w:t>
      </w:r>
      <w:bookmarkStart w:id="4" w:name="temp"/>
      <w:bookmarkEnd w:id="4"/>
      <w:r w:rsidRPr="00483FF2">
        <w:rPr>
          <w:color w:val="000000" w:themeColor="text1"/>
          <w:u w:val="single" w:color="000000" w:themeColor="text1"/>
        </w:rPr>
        <w:t>residence.</w:t>
      </w:r>
      <w:r w:rsidRPr="00483FF2">
        <w:rPr>
          <w:color w:val="000000" w:themeColor="text1"/>
          <w:u w:color="000000" w:themeColor="text1"/>
        </w:rPr>
        <w:t xml:space="preserve">  For purposes of the assessment ratio allowed pursuant to this item, a residence does not qualify as a legal residence unless the residence is determined to be the domicile of the owner</w:t>
      </w:r>
      <w:r w:rsidRPr="00483FF2">
        <w:rPr>
          <w:color w:val="000000" w:themeColor="text1"/>
          <w:u w:color="000000" w:themeColor="text1"/>
        </w:rPr>
        <w:noBreakHyphen/>
        <w:t>applicant.”</w:t>
      </w:r>
      <w:r w:rsidRPr="00483FF2">
        <w:rPr>
          <w:color w:val="000000" w:themeColor="text1"/>
          <w:u w:color="000000" w:themeColor="text1"/>
        </w:rPr>
        <w:tab/>
      </w:r>
      <w:r w:rsidRPr="00483FF2">
        <w:rPr>
          <w:color w:val="000000" w:themeColor="text1"/>
          <w:u w:color="000000" w:themeColor="text1"/>
        </w:rPr>
        <w:tab/>
      </w:r>
    </w:p>
    <w:p w:rsidR="00B7544B" w:rsidRPr="00483FF2"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98A" w:rsidRPr="00130E5E" w:rsidRDefault="00B7544B"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lastRenderedPageBreak/>
        <w:t>SECTION</w:t>
      </w:r>
      <w:r w:rsidRPr="00483FF2">
        <w:rPr>
          <w:color w:val="000000" w:themeColor="text1"/>
          <w:u w:color="000000" w:themeColor="text1"/>
        </w:rPr>
        <w:tab/>
        <w:t>3.</w:t>
      </w:r>
      <w:r w:rsidRPr="00483FF2">
        <w:rPr>
          <w:color w:val="000000" w:themeColor="text1"/>
          <w:u w:color="000000" w:themeColor="text1"/>
        </w:rPr>
        <w:tab/>
        <w:t>Except where provided otherwise, this act takes effect upon approval by the Governor.</w:t>
      </w:r>
    </w:p>
    <w:p w:rsidR="00380C82" w:rsidRDefault="00CB19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C82" w:rsidRDefault="00380C82" w:rsidP="00AC4D7D">
      <w:pPr>
        <w:suppressAutoHyphens/>
      </w:pPr>
    </w:p>
    <w:sectPr w:rsidR="00380C82" w:rsidSect="00DC63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5B6" w:rsidRDefault="007125B6" w:rsidP="009F0C77">
      <w:r>
        <w:separator/>
      </w:r>
    </w:p>
  </w:endnote>
  <w:endnote w:type="continuationSeparator" w:id="0">
    <w:p w:rsidR="007125B6" w:rsidRDefault="007125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E6D2BE-0085-4195-B6D1-0CB6D2F7C59E}"/>
    <w:embedBold r:id="rId2" w:fontKey="{E88BE4E3-8E7A-4B38-9C61-88FC23B43333}"/>
  </w:font>
  <w:font w:name="Calibri">
    <w:panose1 w:val="020F0502020204030204"/>
    <w:charset w:val="00"/>
    <w:family w:val="swiss"/>
    <w:pitch w:val="variable"/>
    <w:sig w:usb0="E10002FF" w:usb1="4000ACFF" w:usb2="00000009" w:usb3="00000000" w:csb0="0000019F" w:csb1="00000000"/>
    <w:embedRegular r:id="rId3" w:fontKey="{7015F94B-C51E-4ABC-BC52-B875949C5F0C}"/>
  </w:font>
  <w:font w:name="Tahoma">
    <w:panose1 w:val="020B0604030504040204"/>
    <w:charset w:val="00"/>
    <w:family w:val="swiss"/>
    <w:pitch w:val="variable"/>
    <w:sig w:usb0="21002A87" w:usb1="80000000" w:usb2="00000008" w:usb3="00000000" w:csb0="000101FF" w:csb1="00000000"/>
    <w:embedRegular r:id="rId4" w:fontKey="{EB91CEFD-DAA0-4982-875E-9C0C2D85EDDC}"/>
  </w:font>
  <w:font w:name="Cambria">
    <w:panose1 w:val="02040503050406030204"/>
    <w:charset w:val="00"/>
    <w:family w:val="roman"/>
    <w:pitch w:val="variable"/>
    <w:sig w:usb0="E00002FF" w:usb1="400004FF" w:usb2="00000000" w:usb3="00000000" w:csb0="0000019F" w:csb1="00000000"/>
    <w:embedRegular r:id="rId5" w:fontKey="{1FFF5DE2-7451-473A-9791-06CFAFC1EF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925" w:rsidRPr="00380C82" w:rsidRDefault="00380C82" w:rsidP="00380C82">
    <w:pPr>
      <w:pStyle w:val="Footer"/>
      <w:tabs>
        <w:tab w:val="clear" w:pos="4680"/>
        <w:tab w:val="clear" w:pos="9360"/>
        <w:tab w:val="center" w:pos="2995"/>
      </w:tabs>
      <w:spacing w:before="120"/>
    </w:pPr>
    <w:r>
      <w:t>[511</w:t>
    </w:r>
    <w:r w:rsidR="00DC6303">
      <w:t>-</w:t>
    </w:r>
    <w:fldSimple w:instr=" PAGE  \* MERGEFORMAT ">
      <w:r w:rsidR="00AC4D7D">
        <w:rPr>
          <w:noProof/>
        </w:rPr>
        <w:t>1</w:t>
      </w:r>
    </w:fldSimple>
    <w:r w:rsidR="00DC63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3" w:rsidRPr="00380C82" w:rsidRDefault="00DC6303" w:rsidP="00380C82">
    <w:pPr>
      <w:pStyle w:val="Footer"/>
      <w:tabs>
        <w:tab w:val="clear" w:pos="4680"/>
        <w:tab w:val="clear" w:pos="9360"/>
        <w:tab w:val="center" w:pos="2995"/>
      </w:tabs>
      <w:spacing w:before="120"/>
    </w:pPr>
    <w:r>
      <w:t>[511]</w:t>
    </w:r>
    <w:r>
      <w:tab/>
    </w:r>
    <w:fldSimple w:instr=" PAGE  \* MERGEFORMAT ">
      <w:r w:rsidR="00AC4D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5B6" w:rsidRDefault="007125B6" w:rsidP="009F0C77">
      <w:r>
        <w:separator/>
      </w:r>
    </w:p>
  </w:footnote>
  <w:footnote w:type="continuationSeparator" w:id="0">
    <w:p w:rsidR="007125B6" w:rsidRDefault="007125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75DG13"/>
    <w:docVar w:name="CoverBillType" w:val="b"/>
    <w:docVar w:name="docpath" w:val="L:\Council\bills\NL\13175DG13.DOCX"/>
    <w:docVar w:name="dvBillNumber" w:val="511"/>
    <w:docVar w:name="dvBillNumberPrefix" w:val="S. "/>
    <w:docVar w:name="dvOriginalBody" w:val="Senate"/>
    <w:docVar w:name="dvSteno" w:val="NL"/>
    <w:docVar w:name="NameofBody" w:val="s"/>
    <w:docVar w:name="vgroup2" w:val="Council"/>
  </w:docVars>
  <w:rsids>
    <w:rsidRoot w:val="001B1B4A"/>
    <w:rsid w:val="00010C83"/>
    <w:rsid w:val="00026C9A"/>
    <w:rsid w:val="000965A1"/>
    <w:rsid w:val="000969D0"/>
    <w:rsid w:val="000E1785"/>
    <w:rsid w:val="000F39F2"/>
    <w:rsid w:val="001023A4"/>
    <w:rsid w:val="0010776B"/>
    <w:rsid w:val="00133E66"/>
    <w:rsid w:val="00134ACF"/>
    <w:rsid w:val="00144E15"/>
    <w:rsid w:val="001A4A62"/>
    <w:rsid w:val="001A681E"/>
    <w:rsid w:val="001B1B4A"/>
    <w:rsid w:val="001D08F2"/>
    <w:rsid w:val="001F694D"/>
    <w:rsid w:val="002037CA"/>
    <w:rsid w:val="002047A2"/>
    <w:rsid w:val="002321B6"/>
    <w:rsid w:val="0023696B"/>
    <w:rsid w:val="00250967"/>
    <w:rsid w:val="002759C5"/>
    <w:rsid w:val="00277DEE"/>
    <w:rsid w:val="00280D88"/>
    <w:rsid w:val="00294ABE"/>
    <w:rsid w:val="002A3EB4"/>
    <w:rsid w:val="00325348"/>
    <w:rsid w:val="00380C82"/>
    <w:rsid w:val="00393688"/>
    <w:rsid w:val="003D411E"/>
    <w:rsid w:val="003E3C1E"/>
    <w:rsid w:val="003E6148"/>
    <w:rsid w:val="00400EAA"/>
    <w:rsid w:val="0041760A"/>
    <w:rsid w:val="004809EE"/>
    <w:rsid w:val="00511EE9"/>
    <w:rsid w:val="00521E00"/>
    <w:rsid w:val="00530D12"/>
    <w:rsid w:val="00563925"/>
    <w:rsid w:val="00577C6C"/>
    <w:rsid w:val="0058501B"/>
    <w:rsid w:val="005A27EE"/>
    <w:rsid w:val="006215AA"/>
    <w:rsid w:val="006340D9"/>
    <w:rsid w:val="00643B8E"/>
    <w:rsid w:val="00665EBC"/>
    <w:rsid w:val="0069470D"/>
    <w:rsid w:val="006A476C"/>
    <w:rsid w:val="006C6A93"/>
    <w:rsid w:val="006E02F9"/>
    <w:rsid w:val="007125B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34EC6"/>
    <w:rsid w:val="00A64E80"/>
    <w:rsid w:val="00A741D9"/>
    <w:rsid w:val="00A9741D"/>
    <w:rsid w:val="00AC4D7D"/>
    <w:rsid w:val="00AD4B17"/>
    <w:rsid w:val="00AE06A8"/>
    <w:rsid w:val="00B26FA6"/>
    <w:rsid w:val="00B741CB"/>
    <w:rsid w:val="00B7544B"/>
    <w:rsid w:val="00B934F3"/>
    <w:rsid w:val="00BA4165"/>
    <w:rsid w:val="00BB6347"/>
    <w:rsid w:val="00BD2134"/>
    <w:rsid w:val="00C038D8"/>
    <w:rsid w:val="00C045DD"/>
    <w:rsid w:val="00C065D2"/>
    <w:rsid w:val="00C3136F"/>
    <w:rsid w:val="00C3483A"/>
    <w:rsid w:val="00C628FD"/>
    <w:rsid w:val="00C74E9D"/>
    <w:rsid w:val="00C82FD3"/>
    <w:rsid w:val="00CB198A"/>
    <w:rsid w:val="00CC6B7B"/>
    <w:rsid w:val="00CD3619"/>
    <w:rsid w:val="00CF4447"/>
    <w:rsid w:val="00D405E7"/>
    <w:rsid w:val="00D41D56"/>
    <w:rsid w:val="00D6260D"/>
    <w:rsid w:val="00D6662B"/>
    <w:rsid w:val="00D95E2F"/>
    <w:rsid w:val="00D970A9"/>
    <w:rsid w:val="00DB3AC0"/>
    <w:rsid w:val="00DC6303"/>
    <w:rsid w:val="00DE68F0"/>
    <w:rsid w:val="00DF3845"/>
    <w:rsid w:val="00DF7E17"/>
    <w:rsid w:val="00E6240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198A"/>
    <w:rPr>
      <w:rFonts w:ascii="Tahoma" w:hAnsi="Tahoma" w:cs="Tahoma"/>
      <w:sz w:val="16"/>
      <w:szCs w:val="16"/>
    </w:rPr>
  </w:style>
  <w:style w:type="character" w:customStyle="1" w:styleId="BalloonTextChar">
    <w:name w:val="Balloon Text Char"/>
    <w:basedOn w:val="DefaultParagraphFont"/>
    <w:link w:val="BalloonText"/>
    <w:uiPriority w:val="99"/>
    <w:semiHidden/>
    <w:rsid w:val="00CB198A"/>
    <w:rPr>
      <w:rFonts w:ascii="Tahoma" w:eastAsia="Times New Roman" w:hAnsi="Tahoma" w:cs="Tahoma"/>
      <w:sz w:val="16"/>
      <w:szCs w:val="16"/>
    </w:rPr>
  </w:style>
  <w:style w:type="paragraph" w:customStyle="1" w:styleId="BillDots0">
    <w:name w:val="Bill Dots"/>
    <w:basedOn w:val="Normal"/>
    <w:qFormat/>
    <w:rsid w:val="00C628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628F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7929B-E57A-4DDC-98CB-DCA4A8776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987</Words>
  <Characters>5631</Characters>
  <Application>Microsoft Office Word</Application>
  <DocSecurity>0</DocSecurity>
  <Lines>46</Lines>
  <Paragraphs>13</Paragraphs>
  <ScaleCrop>false</ScaleCrop>
  <Company> </Company>
  <LinksUpToDate>false</LinksUpToDate>
  <CharactersWithSpaces>6605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2014-03-06T22:54:00Z</cp:lastPrinted>
  <dcterms:created xsi:type="dcterms:W3CDTF">2014-03-13T18:38:00Z</dcterms:created>
  <dcterms:modified xsi:type="dcterms:W3CDTF">2014-03-13T18:38:00Z</dcterms:modified>
</cp:coreProperties>
</file>