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 2014</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Pr="001E2CC2" w:rsidRDefault="001E2CC2" w:rsidP="001E2CC2">
      <w:pPr>
        <w:tabs>
          <w:tab w:val="right" w:pos="5933"/>
        </w:tabs>
        <w:suppressAutoHyphens/>
        <w:jc w:val="both"/>
        <w:rPr>
          <w:rFonts w:eastAsia="Times New Roman"/>
        </w:rPr>
      </w:pPr>
      <w:r>
        <w:rPr>
          <w:rFonts w:eastAsia="Times New Roman"/>
        </w:rPr>
        <w:tab/>
      </w:r>
      <w:r>
        <w:rPr>
          <w:rFonts w:eastAsia="Times New Roman"/>
          <w:b/>
          <w:sz w:val="36"/>
        </w:rPr>
        <w:t>S. 779</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06FA4">
        <w:t>Senator Davis</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4/2/14--S.</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5, 2013.</w:t>
      </w:r>
    </w:p>
    <w:p w:rsidR="001E2CC2" w:rsidRP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P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779) to amend Chapter 19, Title 16 of the 1976 Code, relating to </w:t>
      </w:r>
      <w:r w:rsidRPr="001E2CC2">
        <w:rPr>
          <w:color w:val="000000"/>
          <w:u w:color="000000"/>
        </w:rPr>
        <w:t>gambling and lotteries, by adding Section 16-19-60, to provide that certain social card</w:t>
      </w:r>
      <w:r>
        <w:rPr>
          <w:rFonts w:eastAsia="Times New Roman"/>
        </w:rPr>
        <w:t>, etc., respectfully</w:t>
      </w:r>
    </w:p>
    <w:p w:rsidR="001E2CC2" w:rsidRP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Pr="0095076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50765">
        <w:rPr>
          <w:rFonts w:eastAsia="Times New Roman"/>
          <w:snapToGrid w:val="0"/>
          <w:szCs w:val="20"/>
        </w:rPr>
        <w:tab/>
        <w:t>Amend the bill, as and if amended, by striking all after the enacting words and inserting the following:</w:t>
      </w:r>
    </w:p>
    <w:p w:rsidR="001E2CC2" w:rsidRPr="0095076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50765">
        <w:rPr>
          <w:rFonts w:eastAsia="Times New Roman"/>
          <w:snapToGrid w:val="0"/>
          <w:szCs w:val="20"/>
        </w:rPr>
        <w:tab/>
        <w:t>/</w:t>
      </w:r>
      <w:r w:rsidRPr="00950765">
        <w:rPr>
          <w:rFonts w:eastAsia="Times New Roman"/>
          <w:snapToGrid w:val="0"/>
          <w:szCs w:val="20"/>
        </w:rPr>
        <w:tab/>
      </w:r>
      <w:r w:rsidRPr="00950765">
        <w:rPr>
          <w:rFonts w:eastAsia="Times New Roman"/>
        </w:rPr>
        <w:t>SECTION</w:t>
      </w:r>
      <w:r w:rsidRPr="00950765">
        <w:rPr>
          <w:rFonts w:eastAsia="Times New Roman"/>
        </w:rPr>
        <w:tab/>
        <w:t>1.</w:t>
      </w:r>
      <w:r w:rsidRPr="00950765">
        <w:rPr>
          <w:rFonts w:eastAsia="Times New Roman"/>
        </w:rPr>
        <w:tab/>
        <w:t>Chapter 19, Title 16 of the 1976 Code is amended by adding:</w:t>
      </w:r>
    </w:p>
    <w:p w:rsidR="001E2CC2" w:rsidRPr="0095076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50765">
        <w:rPr>
          <w:rFonts w:eastAsia="Times New Roman"/>
        </w:rPr>
        <w:tab/>
        <w:t>“Section 16</w:t>
      </w:r>
      <w:r w:rsidRPr="00950765">
        <w:rPr>
          <w:rFonts w:eastAsia="Times New Roman"/>
        </w:rPr>
        <w:noBreakHyphen/>
        <w:t>19</w:t>
      </w:r>
      <w:r w:rsidRPr="00950765">
        <w:rPr>
          <w:rFonts w:eastAsia="Times New Roman"/>
        </w:rPr>
        <w:noBreakHyphen/>
        <w:t>60.</w:t>
      </w:r>
      <w:r w:rsidRPr="00950765">
        <w:rPr>
          <w:rFonts w:eastAsia="Times New Roman"/>
        </w:rPr>
        <w:tab/>
        <w:t xml:space="preserve">Notwithstanding any other provision of law to the contrary, it is not unlawful for persons who are members of a club or other social organization to gather for the purpose of engaging in games of tiles, cards or dice, including, but not limited to, canasta, mahjong, and bridge, where the games are played among members in a private residence, home, or community clubhouse or similar structure; no mechanical or electronic devices or machines of any kind, slot machines, pull tabs, punch boards, pull boards, or video games, devices, or machines of any kind are used or incorporated in any way; no person or entity of any kind receives any direct or indirect economic, financial, or monetary benefit of any kind; the host of the game or owner or lessee of the location in which the games are played does not receive any direct or indirect economic, financial, or monetary benefit of any kind; there is no betting, wagering, or gambling of any kind; a bona fide social relationship among the participants exists; </w:t>
      </w:r>
      <w:r w:rsidRPr="00950765">
        <w:t>and, except for the advantage of skill or luck, the risks of losing or winning are the same for all parties.”</w:t>
      </w:r>
    </w:p>
    <w:p w:rsidR="001E2CC2" w:rsidRPr="0095076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950765">
        <w:rPr>
          <w:rFonts w:eastAsia="Times New Roman"/>
        </w:rPr>
        <w:t>SECTION</w:t>
      </w:r>
      <w:r w:rsidRPr="00950765">
        <w:rPr>
          <w:rFonts w:eastAsia="Times New Roman"/>
        </w:rPr>
        <w:tab/>
        <w:t>2.</w:t>
      </w:r>
      <w:r w:rsidRPr="00950765">
        <w:rPr>
          <w:rFonts w:eastAsia="Times New Roman"/>
        </w:rPr>
        <w:tab/>
        <w:t>This act takes effect upon approval by the Governor.</w:t>
      </w:r>
      <w:r w:rsidRPr="00950765">
        <w:rPr>
          <w:rFonts w:eastAsia="Times New Roman"/>
        </w:rPr>
        <w:tab/>
      </w:r>
      <w:r w:rsidRPr="00950765">
        <w:rPr>
          <w:rFonts w:eastAsia="Times New Roman"/>
        </w:rPr>
        <w:tab/>
        <w:t>/</w:t>
      </w:r>
    </w:p>
    <w:p w:rsid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950765">
        <w:rPr>
          <w:rFonts w:eastAsia="Times New Roman"/>
          <w:snapToGrid w:val="0"/>
          <w:szCs w:val="20"/>
        </w:rPr>
        <w:t>Renumber sections to conform.</w:t>
      </w:r>
      <w:r w:rsidRPr="00950765">
        <w:rPr>
          <w:rFonts w:eastAsia="Times New Roman"/>
        </w:rPr>
        <w:t xml:space="preserve">    </w:t>
      </w:r>
    </w:p>
    <w:p w:rsid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950765">
        <w:rPr>
          <w:rFonts w:eastAsia="Times New Roman"/>
          <w:snapToGrid w:val="0"/>
          <w:szCs w:val="20"/>
        </w:rPr>
        <w:t>Amend title to conform.</w:t>
      </w:r>
    </w:p>
    <w:p w:rsid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1E2CC2" w:rsidRP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P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E2CC2" w:rsidRPr="00B9709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97095">
        <w:t>ESTIMATED FISCAL IMPACT ON GENERAL FUND EXPENDITURES:</w:t>
      </w:r>
    </w:p>
    <w:p w:rsidR="001E2CC2" w:rsidRPr="00B9709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B97095">
        <w:t>$0 (No additional expenditures or savings are expected)</w:t>
      </w:r>
    </w:p>
    <w:p w:rsidR="001E2CC2" w:rsidRPr="00B9709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97095">
        <w:t>ESTIMATED FISCAL IMPACT ON FEDERAL &amp; OTHER FUND EXPENDITURES:</w:t>
      </w:r>
    </w:p>
    <w:p w:rsidR="001E2CC2" w:rsidRPr="00B97095" w:rsidRDefault="001E2CC2" w:rsidP="001E2CC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B97095">
        <w:t>$0 (No additional expenditures or savings are expected)</w:t>
      </w:r>
      <w:bookmarkStart w:id="2" w:name="c"/>
      <w:bookmarkEnd w:id="2"/>
    </w:p>
    <w:p w:rsidR="001E2CC2" w:rsidRPr="00B9709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97095">
        <w:rPr>
          <w:b/>
        </w:rPr>
        <w:t>EXPLANATION OF IMPACT:</w:t>
      </w:r>
    </w:p>
    <w:p w:rsidR="001E2CC2" w:rsidRPr="00B9709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B97095">
        <w:rPr>
          <w:u w:val="single"/>
        </w:rPr>
        <w:t>State Law Enforcement Division</w:t>
      </w:r>
    </w:p>
    <w:p w:rsidR="001E2CC2" w:rsidRPr="00B9709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97095">
        <w:rPr>
          <w:u w:val="single"/>
        </w:rPr>
        <w:t>Judicial Department</w:t>
      </w:r>
    </w:p>
    <w:p w:rsidR="001E2CC2" w:rsidRPr="00B97095"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7095">
        <w:t xml:space="preserve">The </w:t>
      </w:r>
      <w:r>
        <w:t>d</w:t>
      </w:r>
      <w:r w:rsidRPr="00B97095">
        <w:t xml:space="preserve">epartments indicate that this </w:t>
      </w:r>
      <w:r>
        <w:t>b</w:t>
      </w:r>
      <w:r w:rsidRPr="00B97095">
        <w:t xml:space="preserve">ill will have no fiscal impact on the General Fund of the State, nor on </w:t>
      </w:r>
      <w:r>
        <w:t>f</w:t>
      </w:r>
      <w:r w:rsidRPr="00B97095">
        <w:t xml:space="preserve">ederal and/or </w:t>
      </w:r>
      <w:r>
        <w:t>other</w:t>
      </w:r>
      <w:r w:rsidRPr="00B97095">
        <w:t xml:space="preserve"> </w:t>
      </w:r>
      <w:r>
        <w:t>f</w:t>
      </w:r>
      <w:r w:rsidRPr="00B97095">
        <w:t>unds.</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Default="001E2CC2" w:rsidP="001E2CC2">
      <w:pPr>
        <w:tabs>
          <w:tab w:val="left" w:pos="3024"/>
        </w:tabs>
        <w:suppressAutoHyphens/>
        <w:jc w:val="both"/>
        <w:rPr>
          <w:rFonts w:eastAsia="Times New Roman"/>
        </w:rPr>
      </w:pPr>
      <w:r>
        <w:rPr>
          <w:rFonts w:eastAsia="Times New Roman"/>
        </w:rPr>
        <w:tab/>
      </w:r>
      <w:r>
        <w:rPr>
          <w:rFonts w:eastAsia="Times New Roman"/>
          <w:i/>
        </w:rPr>
        <w:t>Approved By:</w:t>
      </w:r>
    </w:p>
    <w:p w:rsidR="001E2CC2" w:rsidRDefault="001E2CC2" w:rsidP="001E2CC2">
      <w:pPr>
        <w:tabs>
          <w:tab w:val="left" w:pos="3024"/>
        </w:tabs>
        <w:suppressAutoHyphens/>
        <w:jc w:val="both"/>
        <w:rPr>
          <w:rFonts w:eastAsia="Times New Roman"/>
        </w:rPr>
      </w:pPr>
      <w:r>
        <w:rPr>
          <w:rFonts w:eastAsia="Times New Roman"/>
        </w:rPr>
        <w:tab/>
        <w:t>Brenda Hart</w:t>
      </w:r>
    </w:p>
    <w:p w:rsidR="001E2CC2" w:rsidRPr="001E2CC2" w:rsidRDefault="001E2CC2" w:rsidP="001E2CC2">
      <w:pPr>
        <w:tabs>
          <w:tab w:val="left" w:pos="3024"/>
        </w:tabs>
        <w:suppressAutoHyphens/>
        <w:jc w:val="both"/>
        <w:rPr>
          <w:rFonts w:eastAsia="Times New Roman"/>
        </w:rPr>
      </w:pPr>
      <w:r>
        <w:rPr>
          <w:rFonts w:eastAsia="Times New Roman"/>
        </w:rPr>
        <w:tab/>
        <w:t>Office of State Budget</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E2CC2" w:rsidSect="001E2CC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D241D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8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 xml:space="preserve">TO AMEND CHAPTER 19, TITLE 16 OF THE 1976 CODE, RELATING TO </w:t>
      </w:r>
      <w:r w:rsidRPr="00BB7E0E">
        <w:rPr>
          <w:color w:val="000000"/>
          <w:u w:color="000000"/>
        </w:rPr>
        <w:t>GAMBLING AND LOTTERIES,</w:t>
      </w:r>
      <w:r>
        <w:rPr>
          <w:color w:val="000000"/>
          <w:u w:color="000000"/>
        </w:rPr>
        <w:t xml:space="preserve"> BY ADDING SECTION 16-19-60, TO PROVIDE THAT CERTAIN SOCIAL CARD AND DICE GAMES ARE NOT UNLAWFUL.</w:t>
      </w:r>
    </w:p>
    <w:p w:rsidR="00D241D7"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D241D7"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241D7"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1D7"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858E4">
        <w:rPr>
          <w:rFonts w:eastAsia="Times New Roman"/>
        </w:rPr>
        <w:t>Chapter 19, Title 16 of the 1976 Code is amended by adding:</w:t>
      </w:r>
    </w:p>
    <w:p w:rsidR="00A858E4" w:rsidRDefault="00A8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8E4" w:rsidRDefault="00A8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16-19-60.</w:t>
      </w:r>
      <w:r>
        <w:rPr>
          <w:rFonts w:eastAsia="Times New Roman"/>
        </w:rPr>
        <w:tab/>
        <w:t>Notwithstanding any other provision of law to the contrary, it is not unlawful for persons who are members of a club or other social organization to gather for the purpose of engaging in games of cards or dice, including, but not limited to</w:t>
      </w:r>
      <w:r w:rsidR="0027245C">
        <w:rPr>
          <w:rFonts w:eastAsia="Times New Roman"/>
        </w:rPr>
        <w:t xml:space="preserve">, </w:t>
      </w:r>
      <w:r>
        <w:rPr>
          <w:rFonts w:eastAsia="Times New Roman"/>
        </w:rPr>
        <w:t xml:space="preserve">canasta, mahjong, and bridge, where the games are played among members in a private residence, home, or community clubhouse or similar structure and no mechanical or electronic devices or machines, slot machines, or video games of chance are used or incorporated into the games, no person receives any economic benefit other than personal winnings, the host of the game or owner or lessee of the location in which the games are played does not receive a percentage of the winnings, a bona fide social relationship among the participants exists, </w:t>
      </w:r>
      <w:r w:rsidRPr="00A858E4">
        <w:t>and, except for the advantage of skill or luck, the risks of losing or winning are the same for all parties.</w:t>
      </w:r>
      <w:r>
        <w:t>”</w:t>
      </w:r>
    </w:p>
    <w:p w:rsidR="00A858E4" w:rsidRDefault="00A8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858E4">
        <w:rPr>
          <w:rFonts w:eastAsia="Times New Roman"/>
        </w:rPr>
        <w:t>2</w:t>
      </w:r>
      <w:r>
        <w:rPr>
          <w:rFonts w:eastAsia="Times New Roman"/>
        </w:rPr>
        <w:t>.</w:t>
      </w:r>
      <w:r>
        <w:rPr>
          <w:rFonts w:eastAsia="Times New Roman"/>
        </w:rPr>
        <w:tab/>
        <w:t>This act takes effect upon approval by the Governor.</w:t>
      </w:r>
    </w:p>
    <w:p w:rsidR="003C0E5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C0E53" w:rsidRDefault="003C0E53" w:rsidP="004D0BDC">
      <w:pPr>
        <w:suppressAutoHyphens/>
        <w:jc w:val="both"/>
        <w:rPr>
          <w:rFonts w:eastAsia="Times New Roman"/>
        </w:rPr>
      </w:pPr>
    </w:p>
    <w:sectPr w:rsidR="003C0E53" w:rsidSect="001E2C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1D7" w:rsidRDefault="00D241D7" w:rsidP="00522CE0">
      <w:r>
        <w:separator/>
      </w:r>
    </w:p>
  </w:endnote>
  <w:endnote w:type="continuationSeparator" w:id="0">
    <w:p w:rsidR="00D241D7" w:rsidRDefault="00D241D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9E267E-3C57-4825-877D-730E72B157FB}"/>
    <w:embedBold r:id="rId2" w:fontKey="{1B31FF0D-5667-4B56-9AEB-2AAA72D30EF7}"/>
    <w:embedItalic r:id="rId3" w:fontKey="{3536CE9E-CCC1-45CA-878D-B328624629B1}"/>
  </w:font>
  <w:font w:name="Calibri">
    <w:panose1 w:val="020F0502020204030204"/>
    <w:charset w:val="00"/>
    <w:family w:val="swiss"/>
    <w:pitch w:val="variable"/>
    <w:sig w:usb0="E10002FF" w:usb1="4000ACFF" w:usb2="00000009" w:usb3="00000000" w:csb0="0000019F" w:csb1="00000000"/>
    <w:embedRegular r:id="rId4" w:fontKey="{668DBA93-1B8D-45FA-97E7-1468F4C83809}"/>
    <w:embedBold r:id="rId5" w:fontKey="{94E09815-0BE3-4B18-9A81-BC1E9DBF7AC3}"/>
  </w:font>
  <w:font w:name="Cambria">
    <w:panose1 w:val="02040503050406030204"/>
    <w:charset w:val="00"/>
    <w:family w:val="roman"/>
    <w:pitch w:val="variable"/>
    <w:sig w:usb0="E00002FF" w:usb1="400004FF" w:usb2="00000000" w:usb3="00000000" w:csb0="0000019F" w:csb1="00000000"/>
    <w:embedRegular r:id="rId6" w:fontKey="{4C2DFDA3-7B15-4380-BC15-B215534A9D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D35" w:rsidRPr="003C0E53" w:rsidRDefault="003C0E53" w:rsidP="003C0E53">
    <w:pPr>
      <w:pStyle w:val="Footer"/>
      <w:tabs>
        <w:tab w:val="clear" w:pos="4680"/>
        <w:tab w:val="clear" w:pos="9360"/>
        <w:tab w:val="center" w:pos="2995"/>
      </w:tabs>
      <w:spacing w:before="120"/>
    </w:pPr>
    <w:r>
      <w:t>[779</w:t>
    </w:r>
    <w:r w:rsidR="001E2CC2">
      <w:t>-</w:t>
    </w:r>
    <w:fldSimple w:instr=" PAGE  \* MERGEFORMAT ">
      <w:r w:rsidR="004D0BDC">
        <w:rPr>
          <w:noProof/>
        </w:rPr>
        <w:t>2</w:t>
      </w:r>
    </w:fldSimple>
    <w:r w:rsidR="001E2C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CC2" w:rsidRPr="003C0E53" w:rsidRDefault="001E2CC2" w:rsidP="003C0E53">
    <w:pPr>
      <w:pStyle w:val="Footer"/>
      <w:tabs>
        <w:tab w:val="clear" w:pos="4680"/>
        <w:tab w:val="clear" w:pos="9360"/>
        <w:tab w:val="center" w:pos="2995"/>
      </w:tabs>
      <w:spacing w:before="120"/>
    </w:pPr>
    <w:r>
      <w:t>[779]</w:t>
    </w:r>
    <w:r>
      <w:tab/>
    </w:r>
    <w:fldSimple w:instr=" PAGE  \* MERGEFORMAT ">
      <w:r w:rsidR="004D0B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1D7" w:rsidRDefault="00D241D7" w:rsidP="00522CE0">
      <w:r>
        <w:separator/>
      </w:r>
    </w:p>
  </w:footnote>
  <w:footnote w:type="continuationSeparator" w:id="0">
    <w:p w:rsidR="00D241D7" w:rsidRDefault="00D241D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0HOUS.KMM.TD"/>
    <w:docVar w:name="CoverAttorneyInitials" w:val="KMM"/>
    <w:docVar w:name="CoverAttorneyLastName" w:val="Moffitt"/>
    <w:docVar w:name="CoverBillType" w:val="b"/>
    <w:docVar w:name="CoverSenator" w:val="TD"/>
    <w:docVar w:name="dvBillNumber" w:val="779"/>
    <w:docVar w:name="dvBillNumberPrefix" w:val="S. "/>
    <w:docVar w:name="dvOriginalBody" w:val="Senate"/>
    <w:docVar w:name="fulldraftpath" w:val="L:\S-RES\TD\010HOUS.KMM.TD.DOCX"/>
    <w:docVar w:name="NameofBody" w:val="S"/>
    <w:docVar w:name="vgroup2" w:val="S-RES"/>
  </w:docVars>
  <w:rsids>
    <w:rsidRoot w:val="00AE63BC"/>
    <w:rsid w:val="00022852"/>
    <w:rsid w:val="00042AC1"/>
    <w:rsid w:val="00046516"/>
    <w:rsid w:val="0007601D"/>
    <w:rsid w:val="000B0720"/>
    <w:rsid w:val="000B5EAF"/>
    <w:rsid w:val="00156944"/>
    <w:rsid w:val="00170561"/>
    <w:rsid w:val="00186AC9"/>
    <w:rsid w:val="00197DF1"/>
    <w:rsid w:val="001B3DD9"/>
    <w:rsid w:val="001B7E5D"/>
    <w:rsid w:val="001D3BAC"/>
    <w:rsid w:val="001E2CC2"/>
    <w:rsid w:val="00216025"/>
    <w:rsid w:val="00245C4E"/>
    <w:rsid w:val="0027245C"/>
    <w:rsid w:val="002C1321"/>
    <w:rsid w:val="002C5896"/>
    <w:rsid w:val="002D3B24"/>
    <w:rsid w:val="002D3BED"/>
    <w:rsid w:val="00307C2B"/>
    <w:rsid w:val="00360CFE"/>
    <w:rsid w:val="00383247"/>
    <w:rsid w:val="003B7C0F"/>
    <w:rsid w:val="003C0E53"/>
    <w:rsid w:val="003C4A88"/>
    <w:rsid w:val="003D6E2B"/>
    <w:rsid w:val="003E7597"/>
    <w:rsid w:val="0044020F"/>
    <w:rsid w:val="00450668"/>
    <w:rsid w:val="004813A2"/>
    <w:rsid w:val="004952FA"/>
    <w:rsid w:val="004B6A22"/>
    <w:rsid w:val="004D0BDC"/>
    <w:rsid w:val="004D7F37"/>
    <w:rsid w:val="00522CE0"/>
    <w:rsid w:val="00565148"/>
    <w:rsid w:val="00593361"/>
    <w:rsid w:val="005A413B"/>
    <w:rsid w:val="005A5017"/>
    <w:rsid w:val="005A648C"/>
    <w:rsid w:val="005F1745"/>
    <w:rsid w:val="006A1802"/>
    <w:rsid w:val="006C74EA"/>
    <w:rsid w:val="00720D40"/>
    <w:rsid w:val="007318D4"/>
    <w:rsid w:val="00765784"/>
    <w:rsid w:val="00772924"/>
    <w:rsid w:val="007A4390"/>
    <w:rsid w:val="007E5CB7"/>
    <w:rsid w:val="008314D2"/>
    <w:rsid w:val="008B2F42"/>
    <w:rsid w:val="008C3697"/>
    <w:rsid w:val="008E185F"/>
    <w:rsid w:val="008F023B"/>
    <w:rsid w:val="00904E16"/>
    <w:rsid w:val="009162B3"/>
    <w:rsid w:val="00927C62"/>
    <w:rsid w:val="00983951"/>
    <w:rsid w:val="00984124"/>
    <w:rsid w:val="00984640"/>
    <w:rsid w:val="009905BE"/>
    <w:rsid w:val="00995C37"/>
    <w:rsid w:val="009C118A"/>
    <w:rsid w:val="00A02011"/>
    <w:rsid w:val="00A15CAC"/>
    <w:rsid w:val="00A4011E"/>
    <w:rsid w:val="00A858E4"/>
    <w:rsid w:val="00A86015"/>
    <w:rsid w:val="00A9594E"/>
    <w:rsid w:val="00AE59C8"/>
    <w:rsid w:val="00AE63BC"/>
    <w:rsid w:val="00B10098"/>
    <w:rsid w:val="00B5790D"/>
    <w:rsid w:val="00B83C06"/>
    <w:rsid w:val="00B945C5"/>
    <w:rsid w:val="00BA20EA"/>
    <w:rsid w:val="00BB5AFC"/>
    <w:rsid w:val="00BC0A56"/>
    <w:rsid w:val="00C31E8D"/>
    <w:rsid w:val="00C45366"/>
    <w:rsid w:val="00C57023"/>
    <w:rsid w:val="00C74052"/>
    <w:rsid w:val="00CB187A"/>
    <w:rsid w:val="00CB3734"/>
    <w:rsid w:val="00CC0EC7"/>
    <w:rsid w:val="00CC1D35"/>
    <w:rsid w:val="00D1088B"/>
    <w:rsid w:val="00D14DE6"/>
    <w:rsid w:val="00D156D2"/>
    <w:rsid w:val="00D241D7"/>
    <w:rsid w:val="00D53E29"/>
    <w:rsid w:val="00D86943"/>
    <w:rsid w:val="00DA47B9"/>
    <w:rsid w:val="00E058D3"/>
    <w:rsid w:val="00E7246A"/>
    <w:rsid w:val="00E76AD9"/>
    <w:rsid w:val="00E91E2F"/>
    <w:rsid w:val="00EA3546"/>
    <w:rsid w:val="00EB47AE"/>
    <w:rsid w:val="00EC34E1"/>
    <w:rsid w:val="00F0234A"/>
    <w:rsid w:val="00F51241"/>
    <w:rsid w:val="00F52959"/>
    <w:rsid w:val="00F55884"/>
    <w:rsid w:val="00FC075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3198</Characters>
  <Application>Microsoft Office Word</Application>
  <DocSecurity>0</DocSecurity>
  <Lines>110</Lines>
  <Paragraphs>43</Paragraphs>
  <ScaleCrop>false</ScaleCrop>
  <Company> </Company>
  <LinksUpToDate>false</LinksUpToDate>
  <CharactersWithSpaces>3806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2014-04-02T22:40:00Z</dcterms:created>
  <dcterms:modified xsi:type="dcterms:W3CDTF">2014-04-02T22:40:00Z</dcterms:modified>
</cp:coreProperties>
</file>