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DDC" w:rsidRDefault="00F11DDC" w:rsidP="00F11DDC">
      <w:pPr>
        <w:widowControl w:val="0"/>
        <w:jc w:val="center"/>
      </w:pPr>
      <w:bookmarkStart w:id="0" w:name="_GoBack"/>
      <w:bookmarkEnd w:id="0"/>
      <w:r w:rsidRPr="00F11DDC">
        <w:rPr>
          <w:b/>
        </w:rPr>
        <w:t>South Carolina General Assembly</w:t>
      </w:r>
    </w:p>
    <w:p w:rsidR="00F11DDC" w:rsidRDefault="00F11DDC" w:rsidP="00F11DDC">
      <w:pPr>
        <w:widowControl w:val="0"/>
        <w:jc w:val="center"/>
      </w:pPr>
      <w:r>
        <w:t>121st Session, 2015-2016</w:t>
      </w:r>
    </w:p>
    <w:p w:rsidR="00F11DDC" w:rsidRDefault="00F11DDC" w:rsidP="00F11DDC">
      <w:pPr>
        <w:widowControl w:val="0"/>
        <w:jc w:val="left"/>
      </w:pPr>
    </w:p>
    <w:p w:rsidR="00F11DDC" w:rsidRDefault="00F11DDC" w:rsidP="00F11DDC">
      <w:pPr>
        <w:widowControl w:val="0"/>
        <w:jc w:val="left"/>
        <w:rPr>
          <w:b/>
        </w:rPr>
      </w:pPr>
      <w:r w:rsidRPr="00F11DDC">
        <w:rPr>
          <w:b/>
        </w:rPr>
        <w:t>S.</w:t>
      </w:r>
      <w:r>
        <w:rPr>
          <w:b/>
        </w:rPr>
        <w:t xml:space="preserve"> </w:t>
      </w:r>
      <w:r w:rsidRPr="00F11DDC">
        <w:rPr>
          <w:b/>
        </w:rPr>
        <w:t>1125</w:t>
      </w:r>
    </w:p>
    <w:p w:rsidR="00F11DDC" w:rsidRDefault="00F11DDC" w:rsidP="00F11DDC">
      <w:pPr>
        <w:widowControl w:val="0"/>
        <w:jc w:val="left"/>
        <w:rPr>
          <w:b/>
        </w:rPr>
      </w:pPr>
    </w:p>
    <w:p w:rsidR="00F11DDC" w:rsidRDefault="00F11DDC" w:rsidP="00F11DDC">
      <w:pPr>
        <w:widowControl w:val="0"/>
        <w:jc w:val="left"/>
      </w:pPr>
      <w:r w:rsidRPr="00F11DDC">
        <w:rPr>
          <w:b/>
        </w:rPr>
        <w:t>STATUS INFORMATION</w:t>
      </w:r>
    </w:p>
    <w:p w:rsidR="00F11DDC" w:rsidRDefault="00F11DDC" w:rsidP="00F11DDC">
      <w:pPr>
        <w:widowControl w:val="0"/>
        <w:jc w:val="left"/>
      </w:pPr>
    </w:p>
    <w:p w:rsidR="00F11DDC" w:rsidRDefault="00F11DDC" w:rsidP="00F11DDC">
      <w:pPr>
        <w:widowControl w:val="0"/>
        <w:jc w:val="left"/>
      </w:pPr>
      <w:r>
        <w:t>General Bill</w:t>
      </w:r>
    </w:p>
    <w:p w:rsidR="00F11DDC" w:rsidRDefault="00F11DDC" w:rsidP="00F11DDC">
      <w:pPr>
        <w:widowControl w:val="0"/>
        <w:jc w:val="left"/>
      </w:pPr>
      <w:r>
        <w:t>Sponsors: Senator Reese</w:t>
      </w:r>
    </w:p>
    <w:p w:rsidR="00F11DDC" w:rsidRDefault="00F11DDC" w:rsidP="00F11DDC">
      <w:pPr>
        <w:widowControl w:val="0"/>
        <w:jc w:val="left"/>
      </w:pPr>
      <w:r>
        <w:t>Document Path: l:\council\bills\bbm\9457dg16.docx</w:t>
      </w:r>
    </w:p>
    <w:p w:rsidR="00847771" w:rsidRDefault="00847771" w:rsidP="00F11DDC">
      <w:pPr>
        <w:widowControl w:val="0"/>
        <w:jc w:val="left"/>
      </w:pPr>
      <w:r>
        <w:t>Companion/Similar bill(s): 5009</w:t>
      </w:r>
    </w:p>
    <w:p w:rsidR="00F11DDC" w:rsidRDefault="00F11DDC" w:rsidP="00F11DDC">
      <w:pPr>
        <w:widowControl w:val="0"/>
        <w:jc w:val="left"/>
      </w:pPr>
    </w:p>
    <w:p w:rsidR="00D209F9" w:rsidRDefault="00D209F9" w:rsidP="00F11DDC">
      <w:pPr>
        <w:widowControl w:val="0"/>
        <w:jc w:val="left"/>
      </w:pPr>
      <w:r>
        <w:t>Introduced in the Senate on February 25, 2016</w:t>
      </w:r>
    </w:p>
    <w:p w:rsidR="00D209F9" w:rsidRDefault="00D209F9" w:rsidP="00F11DDC">
      <w:pPr>
        <w:widowControl w:val="0"/>
        <w:jc w:val="left"/>
      </w:pPr>
      <w:r>
        <w:t>Introduced in the House on April 13, 2016</w:t>
      </w:r>
    </w:p>
    <w:p w:rsidR="00D209F9" w:rsidRPr="00D209F9" w:rsidRDefault="00D209F9" w:rsidP="00F11DDC">
      <w:pPr>
        <w:widowControl w:val="0"/>
        <w:jc w:val="left"/>
      </w:pPr>
      <w:r>
        <w:t xml:space="preserve">Currently residing in the House Committee on </w:t>
      </w:r>
      <w:r w:rsidRPr="00D209F9">
        <w:rPr>
          <w:b/>
        </w:rPr>
        <w:t>Ways and Means</w:t>
      </w:r>
    </w:p>
    <w:p w:rsidR="00D209F9" w:rsidRDefault="00D209F9" w:rsidP="00F11DDC">
      <w:pPr>
        <w:widowControl w:val="0"/>
        <w:jc w:val="left"/>
      </w:pPr>
    </w:p>
    <w:p w:rsidR="00F11DDC" w:rsidRDefault="00F11DDC" w:rsidP="00F11DDC">
      <w:pPr>
        <w:widowControl w:val="0"/>
        <w:jc w:val="left"/>
      </w:pPr>
      <w:r>
        <w:t xml:space="preserve">Summary: </w:t>
      </w:r>
      <w:r w:rsidR="00E9736F">
        <w:t>Textiles communities revitalization income tax credit</w:t>
      </w:r>
    </w:p>
    <w:p w:rsidR="00F11DDC" w:rsidRDefault="00F11DDC" w:rsidP="00F11DDC">
      <w:pPr>
        <w:widowControl w:val="0"/>
        <w:jc w:val="left"/>
      </w:pPr>
    </w:p>
    <w:p w:rsidR="00F11DDC" w:rsidRDefault="00F11DDC" w:rsidP="00F11DDC">
      <w:pPr>
        <w:widowControl w:val="0"/>
        <w:jc w:val="left"/>
      </w:pPr>
    </w:p>
    <w:p w:rsidR="00F11DDC" w:rsidRDefault="00F11DDC" w:rsidP="00F11DDC">
      <w:pPr>
        <w:widowControl w:val="0"/>
        <w:tabs>
          <w:tab w:val="center" w:pos="590"/>
          <w:tab w:val="center" w:pos="1440"/>
          <w:tab w:val="left" w:pos="1872"/>
          <w:tab w:val="left" w:pos="9187"/>
        </w:tabs>
        <w:jc w:val="left"/>
      </w:pPr>
      <w:r w:rsidRPr="00F11DDC">
        <w:rPr>
          <w:b/>
        </w:rPr>
        <w:t>HISTORY OF LEGISLATIVE ACTIONS</w:t>
      </w:r>
    </w:p>
    <w:p w:rsidR="00F11DDC" w:rsidRDefault="00F11DDC" w:rsidP="00F11DDC">
      <w:pPr>
        <w:widowControl w:val="0"/>
        <w:tabs>
          <w:tab w:val="center" w:pos="590"/>
          <w:tab w:val="center" w:pos="1440"/>
          <w:tab w:val="left" w:pos="1872"/>
          <w:tab w:val="left" w:pos="9187"/>
        </w:tabs>
        <w:jc w:val="left"/>
      </w:pPr>
    </w:p>
    <w:p w:rsidR="00F11DDC" w:rsidRPr="00F11DDC" w:rsidRDefault="00F11DDC" w:rsidP="00F11DDC">
      <w:pPr>
        <w:widowControl w:val="0"/>
        <w:tabs>
          <w:tab w:val="center" w:pos="590"/>
          <w:tab w:val="center" w:pos="1440"/>
          <w:tab w:val="left" w:pos="1872"/>
          <w:tab w:val="left" w:pos="9187"/>
        </w:tabs>
        <w:jc w:val="left"/>
      </w:pPr>
      <w:r w:rsidRPr="00F11DDC">
        <w:rPr>
          <w:u w:val="single"/>
        </w:rPr>
        <w:tab/>
        <w:t>Date</w:t>
      </w:r>
      <w:r w:rsidRPr="00F11DDC">
        <w:rPr>
          <w:u w:val="single"/>
        </w:rPr>
        <w:tab/>
        <w:t>Body</w:t>
      </w:r>
      <w:r w:rsidRPr="00F11DDC">
        <w:rPr>
          <w:u w:val="single"/>
        </w:rPr>
        <w:tab/>
        <w:t>Action Description with journal page number</w:t>
      </w:r>
      <w:r w:rsidRPr="00F11DDC">
        <w:rPr>
          <w:u w:val="single"/>
        </w:rPr>
        <w:tab/>
      </w:r>
    </w:p>
    <w:p w:rsidR="00932520" w:rsidRDefault="00932520" w:rsidP="00932520">
      <w:pPr>
        <w:widowControl w:val="0"/>
        <w:tabs>
          <w:tab w:val="right" w:pos="1008"/>
          <w:tab w:val="left" w:pos="1152"/>
          <w:tab w:val="left" w:pos="1872"/>
          <w:tab w:val="left" w:pos="9187"/>
        </w:tabs>
        <w:ind w:left="2088" w:hanging="2088"/>
        <w:jc w:val="left"/>
      </w:pPr>
      <w:r>
        <w:tab/>
        <w:t>2/25/2016</w:t>
      </w:r>
      <w:r>
        <w:tab/>
        <w:t>Senate</w:t>
      </w:r>
      <w:r>
        <w:tab/>
      </w:r>
      <w:r w:rsidRPr="00183375">
        <w:t>Introduced and read first time (</w:t>
      </w:r>
      <w:hyperlink r:id="rId7" w:history="1">
        <w:r w:rsidRPr="00C37916">
          <w:rPr>
            <w:rStyle w:val="Hyperlink"/>
          </w:rPr>
          <w:t>Senate Journal</w:t>
        </w:r>
        <w:r w:rsidRPr="00C37916">
          <w:rPr>
            <w:rStyle w:val="Hyperlink"/>
          </w:rPr>
          <w:noBreakHyphen/>
          <w:t>page 6</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2/25/2016</w:t>
      </w:r>
      <w:r>
        <w:tab/>
        <w:t>Senate</w:t>
      </w:r>
      <w:r>
        <w:tab/>
      </w:r>
      <w:r w:rsidRPr="00183375">
        <w:t>R</w:t>
      </w:r>
      <w:r>
        <w:t xml:space="preserve">eferred to Committee on </w:t>
      </w:r>
      <w:r w:rsidRPr="00183375">
        <w:rPr>
          <w:b/>
        </w:rPr>
        <w:t>Finance</w:t>
      </w:r>
      <w:r>
        <w:t xml:space="preserve"> </w:t>
      </w:r>
      <w:r w:rsidRPr="00183375">
        <w:t>(</w:t>
      </w:r>
      <w:hyperlink r:id="rId8" w:history="1">
        <w:r w:rsidRPr="00C37916">
          <w:rPr>
            <w:rStyle w:val="Hyperlink"/>
          </w:rPr>
          <w:t>Senate Journal</w:t>
        </w:r>
        <w:r w:rsidRPr="00C37916">
          <w:rPr>
            <w:rStyle w:val="Hyperlink"/>
          </w:rPr>
          <w:noBreakHyphen/>
          <w:t>page 6</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3/23/2016</w:t>
      </w:r>
      <w:r>
        <w:tab/>
        <w:t>Senate</w:t>
      </w:r>
      <w:r>
        <w:tab/>
      </w:r>
      <w:r w:rsidRPr="00183375">
        <w:t>Comm</w:t>
      </w:r>
      <w:r>
        <w:t xml:space="preserve">ittee report: Favorable </w:t>
      </w:r>
      <w:r w:rsidRPr="00183375">
        <w:rPr>
          <w:b/>
        </w:rPr>
        <w:t>Finance</w:t>
      </w:r>
      <w:r>
        <w:t xml:space="preserve"> </w:t>
      </w:r>
      <w:r w:rsidRPr="00183375">
        <w:t>(</w:t>
      </w:r>
      <w:hyperlink r:id="rId9" w:history="1">
        <w:r w:rsidRPr="00C37916">
          <w:rPr>
            <w:rStyle w:val="Hyperlink"/>
          </w:rPr>
          <w:t>Senate Journal</w:t>
        </w:r>
        <w:r w:rsidRPr="00C37916">
          <w:rPr>
            <w:rStyle w:val="Hyperlink"/>
          </w:rPr>
          <w:noBreakHyphen/>
          <w:t>page 12</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4/7/2016</w:t>
      </w:r>
      <w:r>
        <w:tab/>
        <w:t>Senate</w:t>
      </w:r>
      <w:r>
        <w:tab/>
      </w:r>
      <w:r w:rsidRPr="00183375">
        <w:t>Read second time (</w:t>
      </w:r>
      <w:hyperlink r:id="rId10" w:history="1">
        <w:r w:rsidRPr="00C37916">
          <w:rPr>
            <w:rStyle w:val="Hyperlink"/>
          </w:rPr>
          <w:t>Senate Journal</w:t>
        </w:r>
        <w:r w:rsidRPr="00C37916">
          <w:rPr>
            <w:rStyle w:val="Hyperlink"/>
          </w:rPr>
          <w:noBreakHyphen/>
          <w:t>page 21</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4/7/2016</w:t>
      </w:r>
      <w:r>
        <w:tab/>
        <w:t>Senate</w:t>
      </w:r>
      <w:r>
        <w:tab/>
      </w:r>
      <w:r w:rsidRPr="00183375">
        <w:t>Roll call Ayes</w:t>
      </w:r>
      <w:r>
        <w:noBreakHyphen/>
      </w:r>
      <w:r w:rsidRPr="00183375">
        <w:t>32  Nays</w:t>
      </w:r>
      <w:r>
        <w:noBreakHyphen/>
      </w:r>
      <w:r w:rsidRPr="00183375">
        <w:t>1 (</w:t>
      </w:r>
      <w:hyperlink r:id="rId11" w:history="1">
        <w:r w:rsidRPr="00C37916">
          <w:rPr>
            <w:rStyle w:val="Hyperlink"/>
          </w:rPr>
          <w:t>Senate Journal</w:t>
        </w:r>
        <w:r w:rsidRPr="00C37916">
          <w:rPr>
            <w:rStyle w:val="Hyperlink"/>
          </w:rPr>
          <w:noBreakHyphen/>
          <w:t>page 21</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4/12/2016</w:t>
      </w:r>
      <w:r>
        <w:tab/>
        <w:t>Senate</w:t>
      </w:r>
      <w:r>
        <w:tab/>
      </w:r>
      <w:r w:rsidRPr="00183375">
        <w:t>Re</w:t>
      </w:r>
      <w:r>
        <w:t xml:space="preserve">ad third time and sent to House </w:t>
      </w:r>
      <w:r w:rsidRPr="00183375">
        <w:t>(</w:t>
      </w:r>
      <w:hyperlink r:id="rId12" w:history="1">
        <w:r w:rsidRPr="00C37916">
          <w:rPr>
            <w:rStyle w:val="Hyperlink"/>
          </w:rPr>
          <w:t>Senate Journal</w:t>
        </w:r>
        <w:r w:rsidRPr="00C37916">
          <w:rPr>
            <w:rStyle w:val="Hyperlink"/>
          </w:rPr>
          <w:noBreakHyphen/>
          <w:t>page 13</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4/13/2016</w:t>
      </w:r>
      <w:r>
        <w:tab/>
        <w:t>House</w:t>
      </w:r>
      <w:r>
        <w:tab/>
      </w:r>
      <w:r w:rsidRPr="00183375">
        <w:t>Introduced and read first time (</w:t>
      </w:r>
      <w:hyperlink r:id="rId13" w:history="1">
        <w:r w:rsidRPr="00C37916">
          <w:rPr>
            <w:rStyle w:val="Hyperlink"/>
          </w:rPr>
          <w:t>House Journal</w:t>
        </w:r>
        <w:r w:rsidRPr="00C37916">
          <w:rPr>
            <w:rStyle w:val="Hyperlink"/>
          </w:rPr>
          <w:noBreakHyphen/>
          <w:t>page 5</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r>
        <w:tab/>
        <w:t>4/13/2016</w:t>
      </w:r>
      <w:r>
        <w:tab/>
        <w:t>House</w:t>
      </w:r>
      <w:r>
        <w:tab/>
      </w:r>
      <w:r w:rsidRPr="00183375">
        <w:t>Referred</w:t>
      </w:r>
      <w:r>
        <w:t xml:space="preserve"> to Committee on </w:t>
      </w:r>
      <w:r w:rsidRPr="00183375">
        <w:rPr>
          <w:b/>
        </w:rPr>
        <w:t>Ways and Means</w:t>
      </w:r>
      <w:r>
        <w:t xml:space="preserve"> </w:t>
      </w:r>
      <w:r w:rsidRPr="00183375">
        <w:t>(</w:t>
      </w:r>
      <w:hyperlink r:id="rId14" w:history="1">
        <w:r w:rsidRPr="00C37916">
          <w:rPr>
            <w:rStyle w:val="Hyperlink"/>
          </w:rPr>
          <w:t>House Journal</w:t>
        </w:r>
        <w:r w:rsidRPr="00C37916">
          <w:rPr>
            <w:rStyle w:val="Hyperlink"/>
          </w:rPr>
          <w:noBreakHyphen/>
          <w:t>page 5</w:t>
        </w:r>
      </w:hyperlink>
      <w:r w:rsidRPr="00183375">
        <w:t>)</w:t>
      </w:r>
    </w:p>
    <w:p w:rsidR="00932520" w:rsidRDefault="00932520" w:rsidP="00932520">
      <w:pPr>
        <w:widowControl w:val="0"/>
        <w:tabs>
          <w:tab w:val="right" w:pos="1008"/>
          <w:tab w:val="left" w:pos="1152"/>
          <w:tab w:val="left" w:pos="1872"/>
          <w:tab w:val="left" w:pos="9187"/>
        </w:tabs>
        <w:ind w:left="2088" w:hanging="2088"/>
        <w:jc w:val="left"/>
      </w:pPr>
    </w:p>
    <w:p w:rsidR="00F11DDC" w:rsidRDefault="00F11DDC" w:rsidP="00F11DDC">
      <w:pPr>
        <w:widowControl w:val="0"/>
        <w:tabs>
          <w:tab w:val="right" w:pos="1008"/>
          <w:tab w:val="left" w:pos="1152"/>
          <w:tab w:val="left" w:pos="1872"/>
          <w:tab w:val="left" w:pos="9187"/>
        </w:tabs>
        <w:ind w:left="2088" w:hanging="2088"/>
        <w:jc w:val="left"/>
      </w:pPr>
      <w:r>
        <w:t xml:space="preserve">View the latest </w:t>
      </w:r>
      <w:hyperlink r:id="rId15" w:history="1">
        <w:r w:rsidRPr="00F11DDC">
          <w:rPr>
            <w:rStyle w:val="Hyperlink"/>
          </w:rPr>
          <w:t>legislative information</w:t>
        </w:r>
      </w:hyperlink>
      <w:r>
        <w:t xml:space="preserve"> at the website</w:t>
      </w:r>
    </w:p>
    <w:p w:rsidR="00F11DDC" w:rsidRDefault="00F11DDC" w:rsidP="00F11DDC">
      <w:pPr>
        <w:widowControl w:val="0"/>
        <w:tabs>
          <w:tab w:val="right" w:pos="1008"/>
          <w:tab w:val="left" w:pos="1152"/>
          <w:tab w:val="left" w:pos="1872"/>
          <w:tab w:val="left" w:pos="9187"/>
        </w:tabs>
        <w:ind w:left="2088" w:hanging="2088"/>
        <w:jc w:val="left"/>
      </w:pPr>
    </w:p>
    <w:p w:rsidR="00F11DDC" w:rsidRPr="00F11DDC" w:rsidRDefault="00F11DDC" w:rsidP="00F11DDC">
      <w:pPr>
        <w:widowControl w:val="0"/>
        <w:tabs>
          <w:tab w:val="right" w:pos="1008"/>
          <w:tab w:val="left" w:pos="1152"/>
          <w:tab w:val="left" w:pos="1872"/>
          <w:tab w:val="left" w:pos="9187"/>
        </w:tabs>
        <w:ind w:left="2088" w:hanging="2088"/>
        <w:jc w:val="left"/>
      </w:pPr>
    </w:p>
    <w:p w:rsidR="00F11DDC" w:rsidRDefault="00F11DDC" w:rsidP="00F11DDC">
      <w:pPr>
        <w:widowControl w:val="0"/>
        <w:jc w:val="left"/>
      </w:pPr>
      <w:r w:rsidRPr="00F11DDC">
        <w:rPr>
          <w:b/>
        </w:rPr>
        <w:t>VERSIONS OF THIS BILL</w:t>
      </w:r>
    </w:p>
    <w:p w:rsidR="00F11DDC" w:rsidRDefault="00F11DDC" w:rsidP="00F11DDC">
      <w:pPr>
        <w:widowControl w:val="0"/>
        <w:jc w:val="left"/>
      </w:pPr>
    </w:p>
    <w:p w:rsidR="00F11DDC" w:rsidRDefault="00C37916" w:rsidP="00F11DDC">
      <w:pPr>
        <w:widowControl w:val="0"/>
        <w:jc w:val="left"/>
      </w:pPr>
      <w:hyperlink r:id="rId16" w:history="1">
        <w:r w:rsidR="00F11DDC">
          <w:rPr>
            <w:rStyle w:val="Hyperlink"/>
          </w:rPr>
          <w:t>2/25/2016</w:t>
        </w:r>
      </w:hyperlink>
    </w:p>
    <w:p w:rsidR="00F11DDC" w:rsidRDefault="00C37916" w:rsidP="00F11DDC">
      <w:hyperlink r:id="rId17" w:history="1">
        <w:r w:rsidR="001439F3" w:rsidRPr="001439F3">
          <w:rPr>
            <w:rStyle w:val="Hyperlink"/>
          </w:rPr>
          <w:t>3/23/2016</w:t>
        </w:r>
      </w:hyperlink>
    </w:p>
    <w:p w:rsidR="001439F3" w:rsidRDefault="001439F3" w:rsidP="00F11DDC"/>
    <w:p w:rsidR="00F11DDC" w:rsidRDefault="00F11DDC" w:rsidP="00F11DDC">
      <w:pPr>
        <w:sectPr w:rsidR="00F11DDC" w:rsidSect="00F11DDC">
          <w:pgSz w:w="12240" w:h="15840" w:code="1"/>
          <w:pgMar w:top="1080" w:right="1440" w:bottom="1080" w:left="1440" w:header="720" w:footer="720" w:gutter="0"/>
          <w:cols w:space="720"/>
          <w:noEndnote/>
          <w:docGrid w:linePitch="360"/>
        </w:sectPr>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439F3" w:rsidRPr="00B2109B"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Pr="00B2109B" w:rsidRDefault="001439F3" w:rsidP="00B2109B">
      <w:pPr>
        <w:tabs>
          <w:tab w:val="right" w:pos="5933"/>
        </w:tabs>
        <w:suppressAutoHyphens/>
      </w:pPr>
      <w:r>
        <w:tab/>
      </w:r>
      <w:r>
        <w:rPr>
          <w:b/>
          <w:sz w:val="36"/>
        </w:rPr>
        <w:t>S. 1125</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F5">
        <w:t>Senator Reese</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1125) </w:t>
      </w:r>
      <w:r w:rsidRPr="00B2109B">
        <w:rPr>
          <w:color w:val="000000" w:themeColor="text1"/>
          <w:u w:color="000000" w:themeColor="text1"/>
        </w:rPr>
        <w:t>to amend Section 12</w:t>
      </w:r>
      <w:r w:rsidRPr="00B2109B">
        <w:rPr>
          <w:color w:val="000000" w:themeColor="text1"/>
          <w:u w:color="000000" w:themeColor="text1"/>
        </w:rPr>
        <w:noBreakHyphen/>
        <w:t>65</w:t>
      </w:r>
      <w:r w:rsidRPr="00B2109B">
        <w:rPr>
          <w:color w:val="000000" w:themeColor="text1"/>
          <w:u w:color="000000" w:themeColor="text1"/>
        </w:rPr>
        <w:noBreakHyphen/>
        <w:t>30, Code of Laws of South Carolina, 1976, relating to the textiles communities revitalization income tax credit, so as to delete</w:t>
      </w:r>
      <w:r>
        <w:t>, etc., respectfully</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Fiscal Impact Summary</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szCs w:val="22"/>
        </w:rPr>
        <w:tab/>
        <w:t xml:space="preserve">This bill would reduce </w:t>
      </w:r>
      <w:r>
        <w:rPr>
          <w:rFonts w:eastAsiaTheme="minorHAnsi" w:cstheme="minorBidi"/>
          <w:szCs w:val="22"/>
        </w:rPr>
        <w:t>g</w:t>
      </w:r>
      <w:r w:rsidRPr="00B2109B">
        <w:rPr>
          <w:rFonts w:eastAsiaTheme="minorHAnsi" w:cstheme="minorBidi"/>
          <w:szCs w:val="22"/>
        </w:rPr>
        <w:t xml:space="preserve">eneral </w:t>
      </w:r>
      <w:r>
        <w:rPr>
          <w:rFonts w:eastAsiaTheme="minorHAnsi" w:cstheme="minorBidi"/>
          <w:szCs w:val="22"/>
        </w:rPr>
        <w:t>f</w:t>
      </w:r>
      <w:r w:rsidRPr="00B2109B">
        <w:rPr>
          <w:rFonts w:eastAsiaTheme="minorHAnsi" w:cstheme="minorBidi"/>
          <w:szCs w:val="22"/>
        </w:rPr>
        <w:t>und corporate and individual income taxes, corporate license fees, and insurance premium taxes by an estimated $774,416 in FY2016-17. This bill would not affect federal funds or other funds revenue in FY2016-17.</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Explanation of Fiscal Impact</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State Expenditure</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szCs w:val="22"/>
        </w:rPr>
        <w:tab/>
        <w:t>The Department of Revenue indicates that there will be no expenditure impact to the general fund, federal funds, or other funds from this bill. The department can administer the legislative changes with existing resources.</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State Reve</w:t>
      </w:r>
      <w:r w:rsidRPr="00B2109B">
        <w:rPr>
          <w:rFonts w:eastAsia="Calibri"/>
          <w:bCs/>
          <w:szCs w:val="22"/>
        </w:rPr>
        <w:t>n</w:t>
      </w:r>
      <w:r w:rsidRPr="00B2109B">
        <w:rPr>
          <w:rFonts w:eastAsia="Calibri"/>
          <w:b/>
          <w:szCs w:val="22"/>
        </w:rPr>
        <w:t>ue</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b/>
          <w:szCs w:val="22"/>
        </w:rPr>
        <w:t>Section 1.</w:t>
      </w:r>
      <w:r w:rsidRPr="00B2109B">
        <w:rPr>
          <w:rFonts w:eastAsiaTheme="minorHAnsi" w:cstheme="minorBidi"/>
          <w:szCs w:val="22"/>
        </w:rPr>
        <w:t xml:space="preserve"> The Textile Communities Revitalization Act was first enacted in 2005. Currently, pursuant to Section 12-65-30, a taxpayer is allowed a tax credit against income taxes, corporate license tax, </w:t>
      </w:r>
      <w:r w:rsidRPr="00B2109B">
        <w:rPr>
          <w:rFonts w:eastAsiaTheme="minorHAnsi" w:cstheme="minorBidi"/>
          <w:szCs w:val="22"/>
        </w:rPr>
        <w:lastRenderedPageBreak/>
        <w:t>or insurance premium taxes, or any combination of them, or a property tax credit for the renovation, improvement, and redevelopment of abandoned textile mills in South Carolina. The income, license, and/or premium tax credit is equal to twenty-five (25) percent of the qualified rehabilitation expenses. The credit is claimed in equal installments over a five (5) year period beginning with the year the property is placed in service. Any unused credit may be carried forward for five (5) years. The tax credit is limited in use to fifty percent of a taxpayer’s income tax liability, fifty percent of a taxpayer’s corporate license fees, and/or fifty percent of a taxpayer’s insurance premium license taxes in a taxable year. A taxpayer may claim this credit in addition to the credit for rehabilitation of a certified historic structure allowed pursuant to Section 12-6-3535. The “real property tax credit” is equal to twenty-five (25) percent of the qualified rehabilitation expenses made to the eligible site up to seventy-five (75) percent of the real property taxes due on the site each year. The municipality or the county must determine the eligibility of the site and the proposed project. The ordinance shall allow the property tax credit to be taken against up to seventy-five (75) percent of the real property taxes due on the site each year not to exceed eight (8) years. The credit vests in the taxpayer in the year in which the eligible site is placed in service. The credit may be carried forward up to eight (8) years.</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szCs w:val="22"/>
        </w:rPr>
        <w:tab/>
        <w:t>Based on the latest information from the South Carolina Department of Revenue, sixty-eight taxpayers claimed $2,821,446 of textile revitalization tax credits in FY2013-14. Also according to the Department of Revenue, corporate taxpayer’s carried forward $176,052 in textile revitalization tax credits to FY2014-15. The Department of Revenue has informed us that information for individual income taxpayer’s carry forwards is not available. The individual taxpayer’s tax credit carryforward can be estimated at the same proportion of the corporate taxpayer’s tax credit carryforward to the total amount of corporate tax credits claimed. The estimated individual taxpayer textile revitalization tax credits are an estimated $598,364 in FY2014-15. Total textile revitalization tax credits total an estimated $774,416 in FY2014-15. The table below summarizes this information.</w:t>
      </w:r>
    </w:p>
    <w:p w:rsidR="001439F3" w:rsidRPr="00B2109B"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center"/>
        <w:rPr>
          <w:color w:val="000000"/>
          <w:szCs w:val="22"/>
        </w:rPr>
      </w:pPr>
      <w:r w:rsidRPr="00B2109B">
        <w:rPr>
          <w:b/>
          <w:bCs/>
          <w:color w:val="000000"/>
          <w:szCs w:val="22"/>
        </w:rPr>
        <w:t>Analysis of Textile Revitalization Tax Credit Carryforwards</w:t>
      </w:r>
    </w:p>
    <w:p w:rsidR="001439F3" w:rsidRPr="00B2109B"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center"/>
        <w:rPr>
          <w:color w:val="000000"/>
          <w:szCs w:val="22"/>
        </w:rPr>
      </w:pPr>
      <w:r w:rsidRPr="00B2109B">
        <w:rPr>
          <w:b/>
          <w:bCs/>
          <w:color w:val="000000"/>
          <w:szCs w:val="22"/>
        </w:rPr>
        <w:t>Fiscal Year 2013-14</w:t>
      </w:r>
    </w:p>
    <w:p w:rsidR="001439F3"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rPr>
      </w:pPr>
      <w:r w:rsidRPr="00B2109B">
        <w:rPr>
          <w:color w:val="000000"/>
          <w:szCs w:val="22"/>
        </w:rPr>
        <w:tab/>
      </w:r>
      <w:r w:rsidRPr="00B2109B">
        <w:rPr>
          <w:color w:val="000000"/>
          <w:szCs w:val="22"/>
        </w:rPr>
        <w:tab/>
      </w:r>
      <w:r w:rsidRPr="00B2109B">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b/>
          <w:bCs/>
          <w:color w:val="000000"/>
          <w:szCs w:val="22"/>
        </w:rPr>
        <w:t>Credits Carrie</w:t>
      </w:r>
    </w:p>
    <w:p w:rsidR="001439F3" w:rsidRPr="00B2109B"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rPr>
      </w:pPr>
      <w:r w:rsidRPr="00B2109B">
        <w:rPr>
          <w:b/>
          <w:bCs/>
          <w:color w:val="000000"/>
          <w:szCs w:val="22"/>
        </w:rPr>
        <w:t>Type of</w:t>
      </w:r>
      <w:r w:rsidRPr="00B2109B">
        <w:rPr>
          <w:b/>
          <w:bCs/>
          <w:color w:val="000000"/>
          <w:szCs w:val="22"/>
        </w:rPr>
        <w:tab/>
      </w:r>
      <w:r>
        <w:rPr>
          <w:b/>
          <w:bCs/>
          <w:color w:val="000000"/>
          <w:szCs w:val="22"/>
        </w:rPr>
        <w:tab/>
      </w:r>
      <w:r>
        <w:rPr>
          <w:b/>
          <w:bCs/>
          <w:color w:val="000000"/>
          <w:szCs w:val="22"/>
        </w:rPr>
        <w:tab/>
      </w:r>
      <w:r>
        <w:rPr>
          <w:b/>
          <w:bCs/>
          <w:color w:val="000000"/>
          <w:szCs w:val="22"/>
        </w:rPr>
        <w:tab/>
      </w:r>
      <w:r w:rsidRPr="00B2109B">
        <w:rPr>
          <w:b/>
          <w:bCs/>
          <w:color w:val="000000"/>
          <w:szCs w:val="22"/>
        </w:rPr>
        <w:t>Number of</w:t>
      </w:r>
      <w:r w:rsidRPr="00B2109B">
        <w:rPr>
          <w:b/>
          <w:bCs/>
          <w:color w:val="000000"/>
          <w:szCs w:val="22"/>
        </w:rPr>
        <w:tab/>
      </w:r>
      <w:r>
        <w:rPr>
          <w:b/>
          <w:bCs/>
          <w:color w:val="000000"/>
          <w:szCs w:val="22"/>
        </w:rPr>
        <w:tab/>
      </w:r>
      <w:r>
        <w:rPr>
          <w:b/>
          <w:bCs/>
          <w:color w:val="000000"/>
          <w:szCs w:val="22"/>
        </w:rPr>
        <w:tab/>
      </w:r>
      <w:r w:rsidRPr="00B2109B">
        <w:rPr>
          <w:b/>
          <w:bCs/>
          <w:color w:val="000000"/>
          <w:szCs w:val="22"/>
        </w:rPr>
        <w:t>Amount of</w:t>
      </w:r>
      <w:r w:rsidRPr="00B2109B">
        <w:rPr>
          <w:b/>
          <w:bCs/>
          <w:color w:val="000000"/>
          <w:szCs w:val="22"/>
        </w:rPr>
        <w:tab/>
      </w:r>
      <w:r>
        <w:rPr>
          <w:b/>
          <w:bCs/>
          <w:color w:val="000000"/>
          <w:szCs w:val="22"/>
        </w:rPr>
        <w:tab/>
        <w:t>Forward To</w:t>
      </w:r>
    </w:p>
    <w:p w:rsidR="001439F3" w:rsidRPr="00B2109B"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rPr>
      </w:pPr>
      <w:r w:rsidRPr="00B2109B">
        <w:rPr>
          <w:b/>
          <w:bCs/>
          <w:color w:val="000000"/>
          <w:szCs w:val="22"/>
        </w:rPr>
        <w:t>Taxpayer</w:t>
      </w:r>
      <w:r w:rsidRPr="00B2109B">
        <w:rPr>
          <w:b/>
          <w:bCs/>
          <w:color w:val="000000"/>
          <w:szCs w:val="22"/>
        </w:rPr>
        <w:tab/>
      </w:r>
      <w:r>
        <w:rPr>
          <w:b/>
          <w:bCs/>
          <w:color w:val="000000"/>
          <w:szCs w:val="22"/>
        </w:rPr>
        <w:tab/>
      </w:r>
      <w:r>
        <w:rPr>
          <w:b/>
          <w:bCs/>
          <w:color w:val="000000"/>
          <w:szCs w:val="22"/>
        </w:rPr>
        <w:tab/>
      </w:r>
      <w:r w:rsidRPr="00B2109B">
        <w:rPr>
          <w:b/>
          <w:bCs/>
          <w:color w:val="000000"/>
          <w:szCs w:val="22"/>
        </w:rPr>
        <w:t>Taxpayers</w:t>
      </w:r>
      <w:r w:rsidRPr="00B2109B">
        <w:rPr>
          <w:b/>
          <w:bCs/>
          <w:color w:val="000000"/>
          <w:szCs w:val="22"/>
        </w:rPr>
        <w:tab/>
      </w:r>
      <w:r>
        <w:rPr>
          <w:b/>
          <w:bCs/>
          <w:color w:val="000000"/>
          <w:szCs w:val="22"/>
        </w:rPr>
        <w:tab/>
      </w:r>
      <w:r>
        <w:rPr>
          <w:b/>
          <w:bCs/>
          <w:color w:val="000000"/>
          <w:szCs w:val="22"/>
        </w:rPr>
        <w:tab/>
      </w:r>
      <w:r w:rsidRPr="00B2109B">
        <w:rPr>
          <w:b/>
          <w:bCs/>
          <w:color w:val="000000"/>
          <w:szCs w:val="22"/>
        </w:rPr>
        <w:t>Tax Credits</w:t>
      </w:r>
      <w:r w:rsidRPr="00B2109B">
        <w:rPr>
          <w:b/>
          <w:bCs/>
          <w:color w:val="000000"/>
          <w:szCs w:val="22"/>
        </w:rPr>
        <w:tab/>
        <w:t>FY2014-15</w:t>
      </w:r>
      <w:r w:rsidRPr="00B2109B">
        <w:rPr>
          <w:b/>
          <w:bCs/>
          <w:color w:val="000000"/>
          <w:szCs w:val="22"/>
        </w:rPr>
        <w:tab/>
      </w:r>
    </w:p>
    <w:p w:rsidR="001439F3" w:rsidRPr="00B2109B"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u w:val="single"/>
        </w:rPr>
      </w:pPr>
      <w:r w:rsidRPr="00B2109B">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sidRPr="00B2109B">
        <w:rPr>
          <w:b/>
          <w:bCs/>
          <w:color w:val="000000"/>
          <w:szCs w:val="22"/>
          <w:u w:val="single"/>
        </w:rPr>
        <w:t>(Number)</w:t>
      </w:r>
      <w:r w:rsidRPr="00B2109B">
        <w:rPr>
          <w:b/>
          <w:bCs/>
          <w:color w:val="000000"/>
          <w:szCs w:val="22"/>
          <w:u w:val="single"/>
        </w:rPr>
        <w:tab/>
      </w:r>
      <w:r>
        <w:rPr>
          <w:b/>
          <w:bCs/>
          <w:color w:val="000000"/>
          <w:szCs w:val="22"/>
          <w:u w:val="single"/>
        </w:rPr>
        <w:tab/>
      </w:r>
      <w:r>
        <w:rPr>
          <w:b/>
          <w:bCs/>
          <w:color w:val="000000"/>
          <w:szCs w:val="22"/>
          <w:u w:val="single"/>
        </w:rPr>
        <w:tab/>
      </w:r>
      <w:r w:rsidRPr="00B2109B">
        <w:rPr>
          <w:b/>
          <w:bCs/>
          <w:color w:val="000000"/>
          <w:szCs w:val="22"/>
          <w:u w:val="single"/>
        </w:rPr>
        <w:t>(Dollars)</w:t>
      </w:r>
      <w:r w:rsidRPr="00B2109B">
        <w:rPr>
          <w:b/>
          <w:bCs/>
          <w:color w:val="000000"/>
          <w:szCs w:val="22"/>
          <w:u w:val="single"/>
        </w:rPr>
        <w:tab/>
      </w:r>
      <w:r>
        <w:rPr>
          <w:b/>
          <w:bCs/>
          <w:color w:val="000000"/>
          <w:szCs w:val="22"/>
          <w:u w:val="single"/>
        </w:rPr>
        <w:tab/>
      </w:r>
      <w:r>
        <w:rPr>
          <w:b/>
          <w:bCs/>
          <w:color w:val="000000"/>
          <w:szCs w:val="22"/>
          <w:u w:val="single"/>
        </w:rPr>
        <w:tab/>
      </w:r>
      <w:r w:rsidRPr="00B2109B">
        <w:rPr>
          <w:b/>
          <w:bCs/>
          <w:color w:val="000000"/>
          <w:szCs w:val="22"/>
          <w:u w:val="single"/>
        </w:rPr>
        <w:t>(Dollars)</w:t>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p>
    <w:p w:rsidR="001439F3" w:rsidRPr="00B2109B" w:rsidRDefault="001439F3"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color w:val="000000"/>
          <w:szCs w:val="22"/>
        </w:rPr>
      </w:pPr>
      <w:r w:rsidRPr="00B2109B">
        <w:rPr>
          <w:b/>
          <w:bCs/>
          <w:color w:val="000000"/>
          <w:szCs w:val="22"/>
        </w:rPr>
        <w:t>Corporate</w:t>
      </w:r>
      <w:r w:rsidRPr="00B2109B">
        <w:rPr>
          <w:b/>
          <w:bCs/>
          <w:color w:val="000000"/>
          <w:szCs w:val="22"/>
        </w:rPr>
        <w:tab/>
      </w:r>
      <w:r>
        <w:rPr>
          <w:b/>
          <w:bCs/>
          <w:color w:val="000000"/>
          <w:szCs w:val="22"/>
        </w:rPr>
        <w:tab/>
      </w:r>
      <w:r>
        <w:rPr>
          <w:b/>
          <w:bCs/>
          <w:color w:val="000000"/>
          <w:szCs w:val="22"/>
        </w:rPr>
        <w:tab/>
      </w:r>
      <w:r>
        <w:rPr>
          <w:b/>
          <w:bCs/>
          <w:color w:val="000000"/>
          <w:szCs w:val="22"/>
        </w:rPr>
        <w:tab/>
      </w:r>
      <w:r>
        <w:rPr>
          <w:color w:val="000000"/>
          <w:szCs w:val="22"/>
        </w:rPr>
        <w:t>7</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$641,414</w:t>
      </w:r>
      <w:r>
        <w:rPr>
          <w:color w:val="000000"/>
          <w:szCs w:val="22"/>
        </w:rPr>
        <w:tab/>
      </w:r>
      <w:r>
        <w:rPr>
          <w:color w:val="000000"/>
          <w:szCs w:val="22"/>
        </w:rPr>
        <w:tab/>
      </w:r>
      <w:r>
        <w:rPr>
          <w:color w:val="000000"/>
          <w:szCs w:val="22"/>
        </w:rPr>
        <w:tab/>
        <w:t>$176,052</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color w:val="000000"/>
          <w:szCs w:val="22"/>
        </w:rPr>
      </w:pPr>
      <w:r w:rsidRPr="00B2109B">
        <w:rPr>
          <w:b/>
          <w:bCs/>
          <w:color w:val="000000"/>
          <w:szCs w:val="22"/>
        </w:rPr>
        <w:t>Individual</w:t>
      </w:r>
      <w:r w:rsidRPr="00B2109B">
        <w:rPr>
          <w:b/>
          <w:bCs/>
          <w:color w:val="000000"/>
          <w:szCs w:val="22"/>
        </w:rPr>
        <w:tab/>
      </w:r>
      <w:r>
        <w:rPr>
          <w:b/>
          <w:bCs/>
          <w:color w:val="000000"/>
          <w:szCs w:val="22"/>
        </w:rPr>
        <w:tab/>
      </w:r>
      <w:r>
        <w:rPr>
          <w:b/>
          <w:bCs/>
          <w:color w:val="000000"/>
          <w:szCs w:val="22"/>
        </w:rPr>
        <w:tab/>
      </w:r>
      <w:r>
        <w:rPr>
          <w:b/>
          <w:bCs/>
          <w:color w:val="000000"/>
          <w:szCs w:val="22"/>
        </w:rPr>
        <w:tab/>
      </w:r>
      <w:r w:rsidRPr="00B2109B">
        <w:rPr>
          <w:color w:val="000000"/>
          <w:szCs w:val="22"/>
        </w:rPr>
        <w:t>61</w:t>
      </w:r>
      <w:r w:rsidRPr="00B2109B">
        <w:rPr>
          <w:color w:val="000000"/>
          <w:szCs w:val="22"/>
        </w:rPr>
        <w:tab/>
      </w:r>
      <w:r>
        <w:rPr>
          <w:color w:val="000000"/>
          <w:szCs w:val="22"/>
        </w:rPr>
        <w:tab/>
      </w:r>
      <w:r>
        <w:rPr>
          <w:color w:val="000000"/>
          <w:szCs w:val="22"/>
        </w:rPr>
        <w:tab/>
      </w:r>
      <w:r>
        <w:rPr>
          <w:color w:val="000000"/>
          <w:szCs w:val="22"/>
        </w:rPr>
        <w:tab/>
      </w:r>
      <w:r>
        <w:rPr>
          <w:color w:val="000000"/>
          <w:szCs w:val="22"/>
        </w:rPr>
        <w:tab/>
      </w:r>
      <w:r w:rsidRPr="00B2109B">
        <w:rPr>
          <w:color w:val="000000"/>
          <w:szCs w:val="22"/>
        </w:rPr>
        <w:t>$2,180,032</w:t>
      </w:r>
      <w:r w:rsidRPr="00B2109B">
        <w:rPr>
          <w:color w:val="000000"/>
          <w:szCs w:val="22"/>
        </w:rPr>
        <w:tab/>
      </w:r>
      <w:r>
        <w:rPr>
          <w:color w:val="000000"/>
          <w:szCs w:val="22"/>
        </w:rPr>
        <w:tab/>
      </w:r>
      <w:r w:rsidRPr="00B2109B">
        <w:rPr>
          <w:color w:val="000000"/>
          <w:szCs w:val="22"/>
        </w:rPr>
        <w:t>$598,364 *</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color w:val="000000"/>
          <w:szCs w:val="22"/>
        </w:rPr>
      </w:pPr>
      <w:r w:rsidRPr="00B2109B">
        <w:rPr>
          <w:b/>
          <w:bCs/>
          <w:color w:val="000000"/>
          <w:szCs w:val="22"/>
        </w:rPr>
        <w:t>Total</w:t>
      </w:r>
      <w:r w:rsidRPr="00B2109B">
        <w:rPr>
          <w:b/>
          <w:bCs/>
          <w:color w:val="000000"/>
          <w:szCs w:val="22"/>
        </w:rPr>
        <w:tab/>
      </w:r>
      <w:r>
        <w:rPr>
          <w:b/>
          <w:bCs/>
          <w:color w:val="000000"/>
          <w:szCs w:val="22"/>
        </w:rPr>
        <w:tab/>
      </w:r>
      <w:r>
        <w:rPr>
          <w:b/>
          <w:bCs/>
          <w:color w:val="000000"/>
          <w:szCs w:val="22"/>
        </w:rPr>
        <w:tab/>
      </w:r>
      <w:r>
        <w:rPr>
          <w:b/>
          <w:bCs/>
          <w:color w:val="000000"/>
          <w:szCs w:val="22"/>
        </w:rPr>
        <w:tab/>
      </w:r>
      <w:r>
        <w:rPr>
          <w:b/>
          <w:bCs/>
          <w:color w:val="000000"/>
          <w:szCs w:val="22"/>
        </w:rPr>
        <w:tab/>
      </w:r>
      <w:r>
        <w:rPr>
          <w:b/>
          <w:bCs/>
          <w:color w:val="000000"/>
          <w:szCs w:val="22"/>
        </w:rPr>
        <w:tab/>
      </w:r>
      <w:r w:rsidRPr="00B2109B">
        <w:rPr>
          <w:color w:val="000000"/>
          <w:szCs w:val="22"/>
        </w:rPr>
        <w:t>68</w:t>
      </w:r>
      <w:r w:rsidRPr="00B2109B">
        <w:rPr>
          <w:color w:val="000000"/>
          <w:szCs w:val="22"/>
        </w:rPr>
        <w:tab/>
      </w:r>
      <w:r>
        <w:rPr>
          <w:color w:val="000000"/>
          <w:szCs w:val="22"/>
        </w:rPr>
        <w:tab/>
      </w:r>
      <w:r>
        <w:rPr>
          <w:color w:val="000000"/>
          <w:szCs w:val="22"/>
        </w:rPr>
        <w:tab/>
      </w:r>
      <w:r>
        <w:rPr>
          <w:color w:val="000000"/>
          <w:szCs w:val="22"/>
        </w:rPr>
        <w:tab/>
      </w:r>
      <w:r>
        <w:rPr>
          <w:color w:val="000000"/>
          <w:szCs w:val="22"/>
        </w:rPr>
        <w:tab/>
      </w:r>
      <w:r w:rsidRPr="00B2109B">
        <w:rPr>
          <w:color w:val="000000"/>
          <w:szCs w:val="22"/>
        </w:rPr>
        <w:t>$2,821,446</w:t>
      </w:r>
      <w:r w:rsidRPr="00B2109B">
        <w:rPr>
          <w:color w:val="000000"/>
          <w:szCs w:val="22"/>
        </w:rPr>
        <w:tab/>
      </w:r>
      <w:r>
        <w:rPr>
          <w:color w:val="000000"/>
          <w:szCs w:val="22"/>
        </w:rPr>
        <w:tab/>
      </w:r>
      <w:r w:rsidRPr="00B2109B">
        <w:rPr>
          <w:color w:val="000000"/>
          <w:szCs w:val="22"/>
        </w:rPr>
        <w:t>$774,416</w:t>
      </w:r>
    </w:p>
    <w:p w:rsidR="001439F3" w:rsidRPr="00B2109B" w:rsidRDefault="001439F3" w:rsidP="00B2109B">
      <w:pPr>
        <w:tabs>
          <w:tab w:val="left" w:pos="1890"/>
          <w:tab w:val="left" w:pos="2952"/>
          <w:tab w:val="left" w:pos="4536"/>
          <w:tab w:val="left" w:pos="6120"/>
        </w:tabs>
        <w:autoSpaceDE w:val="0"/>
        <w:autoSpaceDN w:val="0"/>
        <w:adjustRightInd w:val="0"/>
        <w:jc w:val="left"/>
        <w:rPr>
          <w:color w:val="000000"/>
          <w:szCs w:val="22"/>
        </w:rPr>
      </w:pPr>
      <w:r>
        <w:rPr>
          <w:color w:val="000000"/>
          <w:szCs w:val="22"/>
        </w:rPr>
        <w:t>Note:  * - estimated</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stheme="minorBidi"/>
          <w:szCs w:val="22"/>
        </w:rPr>
      </w:pPr>
      <w:r w:rsidRPr="00B2109B">
        <w:rPr>
          <w:color w:val="000000"/>
          <w:szCs w:val="22"/>
        </w:rPr>
        <w:t>Source: South Carolina Department of Revenue</w:t>
      </w:r>
      <w:r w:rsidRPr="00B2109B">
        <w:rPr>
          <w:color w:val="000000"/>
          <w:szCs w:val="22"/>
        </w:rPr>
        <w:tab/>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stheme="minorBidi"/>
          <w:szCs w:val="22"/>
        </w:rPr>
      </w:pPr>
      <w:r>
        <w:rPr>
          <w:rFonts w:eastAsiaTheme="minorHAnsi" w:cstheme="minorBidi"/>
          <w:szCs w:val="22"/>
        </w:rPr>
        <w:tab/>
      </w:r>
      <w:r w:rsidRPr="00B2109B">
        <w:rPr>
          <w:rFonts w:eastAsiaTheme="minorHAnsi" w:cstheme="minorBidi"/>
          <w:szCs w:val="22"/>
        </w:rPr>
        <w:t>This bill would delete Section 12-65-30(C)(5) that limits the use of the tax credit to fifty percent of a taxpayer’s income tax liability for a taxable year against corporate and individual income taxes, corporate license fees, and insurance premium taxes. This bill would allow a taxpayer that claims a textile revitalization tax credit for income tax year 2016 to not limit the use of the tax credit to fifty percent of a taxpayer’s income tax liability, regardless of when the tax credit is earned. This change would accelerate the use of the tax credit and positively impact the cash flow of the taxpayer. The full impact of the tax credits earned would still remain, but the timing of the use of the tax credits would be shifted to earlier tax years. This bill would reduce general fund corporate and individual income taxes, corporate license fees, and insurance premium taxes by an estimated $774,416 in FY2016-17.</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b/>
          <w:szCs w:val="22"/>
        </w:rPr>
        <w:t>Section 2.</w:t>
      </w:r>
      <w:r w:rsidRPr="00B2109B">
        <w:rPr>
          <w:rFonts w:eastAsiaTheme="minorHAnsi" w:cstheme="minorBidi"/>
          <w:szCs w:val="22"/>
        </w:rPr>
        <w:t xml:space="preserve"> This act takes effect upon approval by the Governor and first applies to credits claimed for income tax year 2016, regardless of when the credit was earned.</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Local Revenue</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2109B">
        <w:rPr>
          <w:szCs w:val="22"/>
        </w:rPr>
        <w:tab/>
        <w:t>Since the fifty percent limitation rule does not apply to the property tax credit for qualified textile mill revitalization expenses, this bill would have no impact on local revenue.</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439F3" w:rsidRPr="00B2109B"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9F3" w:rsidSect="00B2109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Pr="00325348" w:rsidRDefault="001439F3" w:rsidP="00F5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39F3" w:rsidRDefault="00143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Default="00143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02E3">
        <w:rPr>
          <w:color w:val="000000" w:themeColor="text1"/>
          <w:u w:color="000000" w:themeColor="text1"/>
        </w:rPr>
        <w:t>TO AMEND SECTION 12</w:t>
      </w:r>
      <w:r>
        <w:rPr>
          <w:color w:val="000000" w:themeColor="text1"/>
          <w:u w:color="000000" w:themeColor="text1"/>
        </w:rPr>
        <w:noBreakHyphen/>
      </w:r>
      <w:r w:rsidRPr="002602E3">
        <w:rPr>
          <w:color w:val="000000" w:themeColor="text1"/>
          <w:u w:color="000000" w:themeColor="text1"/>
        </w:rPr>
        <w:t>65</w:t>
      </w:r>
      <w:r>
        <w:rPr>
          <w:color w:val="000000" w:themeColor="text1"/>
          <w:u w:color="000000" w:themeColor="text1"/>
        </w:rPr>
        <w:noBreakHyphen/>
      </w:r>
      <w:r w:rsidRPr="002602E3">
        <w:rPr>
          <w:color w:val="000000" w:themeColor="text1"/>
          <w:u w:color="000000" w:themeColor="text1"/>
        </w:rPr>
        <w:t xml:space="preserve">30, CODE OF LAWS OF SOUTH CAROLINA, 1976, RELATING TO THE TEXTILES COMMUNITIES </w:t>
      </w:r>
      <w:r w:rsidRPr="00487078">
        <w:rPr>
          <w:color w:val="000000" w:themeColor="text1"/>
          <w:u w:color="000000" w:themeColor="text1"/>
        </w:rPr>
        <w:t>REVITALIZATION INCOME TAX CREDIT, SO AS TO DELETE A PROVISION THAT LIMITS THE CREDIT TO FIF</w:t>
      </w:r>
      <w:r>
        <w:rPr>
          <w:color w:val="000000" w:themeColor="text1"/>
          <w:u w:color="000000" w:themeColor="text1"/>
        </w:rPr>
        <w:t>TY PERCENT OF CERTAIN LIABILITY</w:t>
      </w:r>
      <w:r w:rsidRPr="002602E3">
        <w:rPr>
          <w:color w:val="000000" w:themeColor="text1"/>
          <w:u w:color="000000" w:themeColor="text1"/>
        </w:rPr>
        <w:t>.</w:t>
      </w:r>
    </w:p>
    <w:p w:rsidR="001439F3" w:rsidRDefault="00143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9F3" w:rsidRDefault="00143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9F3" w:rsidRDefault="00143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F3" w:rsidRPr="002602E3"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602E3">
        <w:rPr>
          <w:color w:val="000000" w:themeColor="text1"/>
          <w:u w:color="000000" w:themeColor="text1"/>
        </w:rPr>
        <w:t>Section 12</w:t>
      </w:r>
      <w:r>
        <w:rPr>
          <w:color w:val="000000" w:themeColor="text1"/>
          <w:u w:color="000000" w:themeColor="text1"/>
        </w:rPr>
        <w:noBreakHyphen/>
      </w:r>
      <w:r w:rsidRPr="002602E3">
        <w:rPr>
          <w:color w:val="000000" w:themeColor="text1"/>
          <w:u w:color="000000" w:themeColor="text1"/>
        </w:rPr>
        <w:t>65</w:t>
      </w:r>
      <w:r>
        <w:rPr>
          <w:color w:val="000000" w:themeColor="text1"/>
          <w:u w:color="000000" w:themeColor="text1"/>
        </w:rPr>
        <w:noBreakHyphen/>
      </w:r>
      <w:r w:rsidRPr="002602E3">
        <w:rPr>
          <w:color w:val="000000" w:themeColor="text1"/>
          <w:u w:color="000000" w:themeColor="text1"/>
        </w:rPr>
        <w:t>30(C)(5) of the 1976 Code is amended to read:</w:t>
      </w:r>
    </w:p>
    <w:p w:rsidR="001439F3" w:rsidRPr="002602E3"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9F3" w:rsidRPr="004E6650"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602E3">
        <w:rPr>
          <w:color w:val="000000" w:themeColor="text1"/>
          <w:u w:color="000000" w:themeColor="text1"/>
        </w:rPr>
        <w:tab/>
        <w:t>“(5)</w:t>
      </w:r>
      <w:r w:rsidRPr="002602E3">
        <w:rPr>
          <w:color w:val="000000" w:themeColor="text1"/>
          <w:u w:color="000000" w:themeColor="text1"/>
        </w:rPr>
        <w:tab/>
      </w:r>
      <w:r w:rsidRPr="004E6650">
        <w:rPr>
          <w:strike/>
          <w:color w:val="000000" w:themeColor="text1"/>
          <w:u w:color="000000" w:themeColor="text1"/>
        </w:rPr>
        <w:t>The credit allowed by this subsection is limited in use to fifty percent of each of the following:</w:t>
      </w:r>
    </w:p>
    <w:p w:rsidR="001439F3" w:rsidRPr="004E6650"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05862">
        <w:rPr>
          <w:color w:val="000000" w:themeColor="text1"/>
          <w:u w:color="000000" w:themeColor="text1"/>
        </w:rPr>
        <w:tab/>
      </w:r>
      <w:r w:rsidRPr="00905862">
        <w:rPr>
          <w:color w:val="000000" w:themeColor="text1"/>
          <w:u w:color="000000" w:themeColor="text1"/>
        </w:rPr>
        <w:tab/>
      </w:r>
      <w:r w:rsidRPr="00905862">
        <w:rPr>
          <w:color w:val="000000" w:themeColor="text1"/>
          <w:u w:color="000000" w:themeColor="text1"/>
        </w:rPr>
        <w:tab/>
      </w:r>
      <w:r w:rsidRPr="004E6650">
        <w:rPr>
          <w:strike/>
          <w:color w:val="000000" w:themeColor="text1"/>
          <w:u w:color="000000" w:themeColor="text1"/>
        </w:rPr>
        <w:t>(a)</w:t>
      </w:r>
      <w:r w:rsidRPr="00905862">
        <w:rPr>
          <w:color w:val="000000" w:themeColor="text1"/>
          <w:u w:color="000000" w:themeColor="text1"/>
        </w:rPr>
        <w:tab/>
      </w:r>
      <w:r w:rsidRPr="004E6650">
        <w:rPr>
          <w:strike/>
          <w:color w:val="000000" w:themeColor="text1"/>
          <w:u w:color="000000" w:themeColor="text1"/>
        </w:rPr>
        <w:t>the taxpayer’s income tax liability for the taxable year if taxpayer claims the credit allowed by this section as a credit against income tax imposed pursuant to Chapter 6 or Chapter 11 of this title;</w:t>
      </w:r>
    </w:p>
    <w:p w:rsidR="001439F3" w:rsidRPr="004E6650"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05862">
        <w:rPr>
          <w:color w:val="000000" w:themeColor="text1"/>
          <w:u w:color="000000" w:themeColor="text1"/>
        </w:rPr>
        <w:tab/>
      </w:r>
      <w:r w:rsidRPr="00905862">
        <w:rPr>
          <w:color w:val="000000" w:themeColor="text1"/>
          <w:u w:color="000000" w:themeColor="text1"/>
        </w:rPr>
        <w:tab/>
      </w:r>
      <w:r w:rsidRPr="00905862">
        <w:rPr>
          <w:color w:val="000000" w:themeColor="text1"/>
          <w:u w:color="000000" w:themeColor="text1"/>
        </w:rPr>
        <w:tab/>
      </w:r>
      <w:r w:rsidRPr="004E6650">
        <w:rPr>
          <w:strike/>
          <w:color w:val="000000" w:themeColor="text1"/>
          <w:u w:color="000000" w:themeColor="text1"/>
        </w:rPr>
        <w:t>(b)</w:t>
      </w:r>
      <w:r w:rsidRPr="00905862">
        <w:rPr>
          <w:color w:val="000000" w:themeColor="text1"/>
          <w:u w:color="000000" w:themeColor="text1"/>
        </w:rPr>
        <w:tab/>
      </w:r>
      <w:r w:rsidRPr="004E6650">
        <w:rPr>
          <w:strike/>
          <w:color w:val="000000" w:themeColor="text1"/>
          <w:u w:color="000000" w:themeColor="text1"/>
        </w:rPr>
        <w:t>the taxpayer’s corporate license fees for the taxable year if the taxpayer claims the credit allowed by this section as a credit against license fees imposed pursuant to Chapter 20; or</w:t>
      </w:r>
    </w:p>
    <w:p w:rsidR="001439F3" w:rsidRPr="002602E3"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5862">
        <w:rPr>
          <w:color w:val="000000" w:themeColor="text1"/>
          <w:u w:color="000000" w:themeColor="text1"/>
        </w:rPr>
        <w:tab/>
      </w:r>
      <w:r w:rsidRPr="00905862">
        <w:rPr>
          <w:color w:val="000000" w:themeColor="text1"/>
          <w:u w:color="000000" w:themeColor="text1"/>
        </w:rPr>
        <w:tab/>
      </w:r>
      <w:r w:rsidRPr="00905862">
        <w:rPr>
          <w:color w:val="000000" w:themeColor="text1"/>
          <w:u w:color="000000" w:themeColor="text1"/>
        </w:rPr>
        <w:tab/>
      </w:r>
      <w:r w:rsidRPr="004E6650">
        <w:rPr>
          <w:strike/>
          <w:color w:val="000000" w:themeColor="text1"/>
          <w:u w:color="000000" w:themeColor="text1"/>
        </w:rPr>
        <w:t>(c)</w:t>
      </w:r>
      <w:r w:rsidRPr="00905862">
        <w:rPr>
          <w:color w:val="000000" w:themeColor="text1"/>
          <w:u w:color="000000" w:themeColor="text1"/>
        </w:rPr>
        <w:tab/>
      </w:r>
      <w:r w:rsidRPr="004E6650">
        <w:rPr>
          <w:strike/>
          <w:color w:val="000000" w:themeColor="text1"/>
          <w:u w:color="000000" w:themeColor="text1"/>
        </w:rPr>
        <w:t>the taxpayer’s insurance premium taxes imposed by Chapter 7, Title 38</w:t>
      </w:r>
      <w:r>
        <w:rPr>
          <w:color w:val="000000" w:themeColor="text1"/>
          <w:u w:color="000000" w:themeColor="text1"/>
        </w:rPr>
        <w:t xml:space="preserve"> </w:t>
      </w:r>
      <w:r>
        <w:rPr>
          <w:color w:val="000000" w:themeColor="text1"/>
          <w:u w:val="single" w:color="000000" w:themeColor="text1"/>
        </w:rPr>
        <w:t>Reserved</w:t>
      </w:r>
      <w:r w:rsidRPr="002602E3">
        <w:rPr>
          <w:color w:val="000000" w:themeColor="text1"/>
          <w:u w:color="000000" w:themeColor="text1"/>
        </w:rPr>
        <w:t>.”</w:t>
      </w:r>
    </w:p>
    <w:p w:rsidR="001439F3" w:rsidRPr="002602E3"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9F3" w:rsidRDefault="001439F3"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2E3">
        <w:rPr>
          <w:color w:val="000000" w:themeColor="text1"/>
          <w:u w:color="000000" w:themeColor="text1"/>
        </w:rPr>
        <w:t>SECTION</w:t>
      </w:r>
      <w:r w:rsidRPr="002602E3">
        <w:rPr>
          <w:color w:val="000000" w:themeColor="text1"/>
          <w:u w:color="000000" w:themeColor="text1"/>
        </w:rPr>
        <w:tab/>
        <w:t>2.</w:t>
      </w:r>
      <w:r w:rsidRPr="002602E3">
        <w:rPr>
          <w:color w:val="000000" w:themeColor="text1"/>
          <w:u w:color="000000" w:themeColor="text1"/>
        </w:rPr>
        <w:tab/>
        <w:t>This act takes effect upon approval by the Governor and first applies to credits claimed for income tax year 2016, regardless of when the credit was earned.</w:t>
      </w:r>
    </w:p>
    <w:p w:rsidR="001439F3" w:rsidRDefault="001439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1DDC" w:rsidRDefault="00F11DDC" w:rsidP="00143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11DDC" w:rsidSect="00B2109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63A" w:rsidRDefault="00BD363A" w:rsidP="009F0C77">
      <w:r>
        <w:separator/>
      </w:r>
    </w:p>
  </w:endnote>
  <w:endnote w:type="continuationSeparator" w:id="0">
    <w:p w:rsidR="00BD363A" w:rsidRDefault="00BD3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3C3DBA-4F17-496A-B29D-7F696B113379}"/>
    <w:embedBold r:id="rId2" w:fontKey="{4958557A-24B9-40FE-9DEF-58B2048DCF29}"/>
  </w:font>
  <w:font w:name="Calibri">
    <w:panose1 w:val="020F0502020204030204"/>
    <w:charset w:val="00"/>
    <w:family w:val="swiss"/>
    <w:pitch w:val="variable"/>
    <w:sig w:usb0="E00002FF" w:usb1="4000ACFF" w:usb2="00000001" w:usb3="00000000" w:csb0="0000019F" w:csb1="00000000"/>
    <w:embedRegular r:id="rId3" w:fontKey="{8286F1A1-7527-4250-B81B-F8B138FB9602}"/>
    <w:embedBold r:id="rId4" w:fontKey="{ACAF1BE7-2439-426B-895A-D0522F07F269}"/>
  </w:font>
  <w:font w:name="Segoe UI">
    <w:panose1 w:val="020B0502040204020203"/>
    <w:charset w:val="00"/>
    <w:family w:val="swiss"/>
    <w:pitch w:val="variable"/>
    <w:sig w:usb0="E10022FF" w:usb1="C000E47F" w:usb2="00000029" w:usb3="00000000" w:csb0="000001DF" w:csb1="00000000"/>
    <w:embedRegular r:id="rId5" w:fontKey="{0D9834FF-7251-4D9D-A929-8ADC28609828}"/>
  </w:font>
  <w:font w:name="Cambria">
    <w:panose1 w:val="02040503050406030204"/>
    <w:charset w:val="00"/>
    <w:family w:val="roman"/>
    <w:pitch w:val="variable"/>
    <w:sig w:usb0="E00002FF" w:usb1="400004FF" w:usb2="00000000" w:usb3="00000000" w:csb0="0000019F" w:csb1="00000000"/>
    <w:embedRegular r:id="rId6" w:fontKey="{A0B8D7EE-89A8-4955-8F6E-4F567CA78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F3" w:rsidRPr="00F53352" w:rsidRDefault="001439F3" w:rsidP="00F53352">
    <w:pPr>
      <w:pStyle w:val="Footer"/>
      <w:tabs>
        <w:tab w:val="clear" w:pos="4680"/>
        <w:tab w:val="clear" w:pos="9360"/>
        <w:tab w:val="center" w:pos="2995"/>
      </w:tabs>
      <w:spacing w:before="120"/>
    </w:pPr>
    <w:r>
      <w:t>[1125-</w:t>
    </w:r>
    <w:r>
      <w:fldChar w:fldCharType="begin"/>
    </w:r>
    <w:r>
      <w:instrText xml:space="preserve"> PAGE  \* MERGEFORMAT </w:instrText>
    </w:r>
    <w:r>
      <w:fldChar w:fldCharType="separate"/>
    </w:r>
    <w:r w:rsidR="00C379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9B" w:rsidRPr="00F53352" w:rsidRDefault="001439F3" w:rsidP="00F53352">
    <w:pPr>
      <w:pStyle w:val="Footer"/>
      <w:tabs>
        <w:tab w:val="clear" w:pos="4680"/>
        <w:tab w:val="clear" w:pos="9360"/>
        <w:tab w:val="center" w:pos="2995"/>
      </w:tabs>
      <w:spacing w:before="120"/>
    </w:pPr>
    <w:r>
      <w:t>[1125]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63A" w:rsidRDefault="00BD363A" w:rsidP="009F0C77">
      <w:r>
        <w:separator/>
      </w:r>
    </w:p>
  </w:footnote>
  <w:footnote w:type="continuationSeparator" w:id="0">
    <w:p w:rsidR="00BD363A" w:rsidRDefault="00BD3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57DG16"/>
    <w:docVar w:name="CoverBillType" w:val="b"/>
    <w:docVar w:name="docpath" w:val="L:\Council\bills\BBM\9457DG16.DOCX"/>
    <w:docVar w:name="dvBillNumber" w:val="1125"/>
    <w:docVar w:name="dvBillNumberPrefix" w:val="S. "/>
    <w:docVar w:name="dvOriginalBody" w:val="Senate"/>
    <w:docVar w:name="dvSteno" w:val="BBM"/>
    <w:docVar w:name="NameofBody" w:val="s"/>
    <w:docVar w:name="vgroup2" w:val="Council"/>
  </w:docVars>
  <w:rsids>
    <w:rsidRoot w:val="00BD363A"/>
    <w:rsid w:val="00026C9A"/>
    <w:rsid w:val="000965A1"/>
    <w:rsid w:val="000E1785"/>
    <w:rsid w:val="000F39F2"/>
    <w:rsid w:val="001023A4"/>
    <w:rsid w:val="0010776B"/>
    <w:rsid w:val="00117F4E"/>
    <w:rsid w:val="00133E66"/>
    <w:rsid w:val="00134ACF"/>
    <w:rsid w:val="001439F3"/>
    <w:rsid w:val="00144E15"/>
    <w:rsid w:val="0015292D"/>
    <w:rsid w:val="001A4A62"/>
    <w:rsid w:val="001A681E"/>
    <w:rsid w:val="001D08F2"/>
    <w:rsid w:val="002037CA"/>
    <w:rsid w:val="002047A2"/>
    <w:rsid w:val="002321B6"/>
    <w:rsid w:val="0023696B"/>
    <w:rsid w:val="00250967"/>
    <w:rsid w:val="002759C5"/>
    <w:rsid w:val="00277DEE"/>
    <w:rsid w:val="00280D88"/>
    <w:rsid w:val="00294ABE"/>
    <w:rsid w:val="002A3EB4"/>
    <w:rsid w:val="00313AEF"/>
    <w:rsid w:val="00325348"/>
    <w:rsid w:val="00393688"/>
    <w:rsid w:val="003D411E"/>
    <w:rsid w:val="003E2F3B"/>
    <w:rsid w:val="003E3C1E"/>
    <w:rsid w:val="003E6148"/>
    <w:rsid w:val="00400EAA"/>
    <w:rsid w:val="0041760A"/>
    <w:rsid w:val="004203D7"/>
    <w:rsid w:val="0042548E"/>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3F5D"/>
    <w:rsid w:val="00753C04"/>
    <w:rsid w:val="00756946"/>
    <w:rsid w:val="00757F80"/>
    <w:rsid w:val="00767EAE"/>
    <w:rsid w:val="00771EEC"/>
    <w:rsid w:val="007801E9"/>
    <w:rsid w:val="00786819"/>
    <w:rsid w:val="007A325A"/>
    <w:rsid w:val="007B581E"/>
    <w:rsid w:val="007C3099"/>
    <w:rsid w:val="007E72BE"/>
    <w:rsid w:val="007F1523"/>
    <w:rsid w:val="007F509E"/>
    <w:rsid w:val="007F5799"/>
    <w:rsid w:val="007F6947"/>
    <w:rsid w:val="00834A12"/>
    <w:rsid w:val="00847771"/>
    <w:rsid w:val="00872729"/>
    <w:rsid w:val="008C036D"/>
    <w:rsid w:val="008F4429"/>
    <w:rsid w:val="00932520"/>
    <w:rsid w:val="00932670"/>
    <w:rsid w:val="009352BB"/>
    <w:rsid w:val="00943BAD"/>
    <w:rsid w:val="00990668"/>
    <w:rsid w:val="009B397B"/>
    <w:rsid w:val="009F0C77"/>
    <w:rsid w:val="009F4DD1"/>
    <w:rsid w:val="00A64E80"/>
    <w:rsid w:val="00A741D9"/>
    <w:rsid w:val="00A9741D"/>
    <w:rsid w:val="00AD4B17"/>
    <w:rsid w:val="00B26FA6"/>
    <w:rsid w:val="00B741CB"/>
    <w:rsid w:val="00B934F3"/>
    <w:rsid w:val="00BB6347"/>
    <w:rsid w:val="00BD2134"/>
    <w:rsid w:val="00BD363A"/>
    <w:rsid w:val="00C038D8"/>
    <w:rsid w:val="00C045DD"/>
    <w:rsid w:val="00C3136F"/>
    <w:rsid w:val="00C3483A"/>
    <w:rsid w:val="00C37916"/>
    <w:rsid w:val="00C74E9D"/>
    <w:rsid w:val="00C82FD3"/>
    <w:rsid w:val="00CC6B7B"/>
    <w:rsid w:val="00CD3619"/>
    <w:rsid w:val="00CF4447"/>
    <w:rsid w:val="00D209F9"/>
    <w:rsid w:val="00D405E7"/>
    <w:rsid w:val="00D41D56"/>
    <w:rsid w:val="00D6260D"/>
    <w:rsid w:val="00D6662B"/>
    <w:rsid w:val="00D95E2F"/>
    <w:rsid w:val="00D970A9"/>
    <w:rsid w:val="00DB3AC0"/>
    <w:rsid w:val="00DC6813"/>
    <w:rsid w:val="00DE68F0"/>
    <w:rsid w:val="00DF3845"/>
    <w:rsid w:val="00DF7E17"/>
    <w:rsid w:val="00E25B67"/>
    <w:rsid w:val="00E9736F"/>
    <w:rsid w:val="00EB00A2"/>
    <w:rsid w:val="00EB1BF3"/>
    <w:rsid w:val="00EF3EEE"/>
    <w:rsid w:val="00EF484E"/>
    <w:rsid w:val="00F11DDC"/>
    <w:rsid w:val="00F149A7"/>
    <w:rsid w:val="00F50BAF"/>
    <w:rsid w:val="00F52C10"/>
    <w:rsid w:val="00F5335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939AB-AA6C-4482-A5DA-509919F7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5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B67"/>
    <w:rPr>
      <w:rFonts w:ascii="Segoe UI" w:eastAsia="Times New Roman" w:hAnsi="Segoe UI" w:cs="Segoe UI"/>
      <w:sz w:val="18"/>
      <w:szCs w:val="18"/>
    </w:rPr>
  </w:style>
  <w:style w:type="character" w:styleId="Hyperlink">
    <w:name w:val="Hyperlink"/>
    <w:basedOn w:val="DefaultParagraphFont"/>
    <w:uiPriority w:val="99"/>
    <w:unhideWhenUsed/>
    <w:rsid w:val="00F11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5-16.docx" TargetMode="External"/><Relationship Id="rId13" Type="http://schemas.openxmlformats.org/officeDocument/2006/relationships/hyperlink" Target="file:///h:\HJ%20Archive\2016\04-13-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2-25-16.docx" TargetMode="External"/><Relationship Id="rId12" Type="http://schemas.openxmlformats.org/officeDocument/2006/relationships/hyperlink" Target="file:///h:\SJ%20Archive\2016\04-12-16.docx" TargetMode="External"/><Relationship Id="rId17" Type="http://schemas.openxmlformats.org/officeDocument/2006/relationships/hyperlink" Target="file:///p:\pprever\2015-16\1125_20160323.docx" TargetMode="External"/><Relationship Id="rId2" Type="http://schemas.openxmlformats.org/officeDocument/2006/relationships/styles" Target="styles.xml"/><Relationship Id="rId16" Type="http://schemas.openxmlformats.org/officeDocument/2006/relationships/hyperlink" Target="file:///p:\pprever\2015-16\1125_201602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07-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125&amp;session=121&amp;summary=B" TargetMode="External"/><Relationship Id="rId10" Type="http://schemas.openxmlformats.org/officeDocument/2006/relationships/hyperlink" Target="file:///h:\SJ%20Archive\2016\04-07-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3-23-16.docx" TargetMode="External"/><Relationship Id="rId14" Type="http://schemas.openxmlformats.org/officeDocument/2006/relationships/hyperlink" Target="file:///h:\HJ%20Archive\2016\04-1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88978-BC3E-4108-9EF1-CE394DEB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1283</Words>
  <Characters>7317</Characters>
  <Application>Microsoft Office Word</Application>
  <DocSecurity>6</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1125: Textiles communities revitalization income tax credit - South Carolina Legislature Online</dc:title>
  <dc:subject/>
  <dc:creator>BRENDA MELTON</dc:creator>
  <cp:keywords/>
  <dc:description/>
  <cp:lastModifiedBy>N Cumfer</cp:lastModifiedBy>
  <cp:revision>2</cp:revision>
  <cp:lastPrinted>2016-02-25T14:18:00Z</cp:lastPrinted>
  <dcterms:created xsi:type="dcterms:W3CDTF">2016-12-02T17:29:00Z</dcterms:created>
  <dcterms:modified xsi:type="dcterms:W3CDTF">2016-12-02T17:29:00Z</dcterms:modified>
</cp:coreProperties>
</file>