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16E" w:rsidRDefault="002B416E" w:rsidP="002B416E">
      <w:pPr>
        <w:widowControl w:val="0"/>
        <w:jc w:val="center"/>
      </w:pPr>
      <w:bookmarkStart w:id="0" w:name="_GoBack"/>
      <w:bookmarkEnd w:id="0"/>
      <w:r w:rsidRPr="002B416E">
        <w:rPr>
          <w:b/>
        </w:rPr>
        <w:t>South Carolina General Assembly</w:t>
      </w:r>
    </w:p>
    <w:p w:rsidR="002B416E" w:rsidRDefault="002B416E" w:rsidP="002B416E">
      <w:pPr>
        <w:widowControl w:val="0"/>
        <w:jc w:val="center"/>
      </w:pPr>
      <w:r>
        <w:t>121st Session, 2015-2016</w:t>
      </w:r>
    </w:p>
    <w:p w:rsidR="002B416E" w:rsidRDefault="002B416E" w:rsidP="002B416E">
      <w:pPr>
        <w:widowControl w:val="0"/>
      </w:pPr>
    </w:p>
    <w:p w:rsidR="002B416E" w:rsidRDefault="002B416E" w:rsidP="002B416E">
      <w:pPr>
        <w:widowControl w:val="0"/>
        <w:rPr>
          <w:b/>
        </w:rPr>
      </w:pPr>
      <w:r w:rsidRPr="002B416E">
        <w:rPr>
          <w:b/>
        </w:rPr>
        <w:t>S.</w:t>
      </w:r>
      <w:r>
        <w:rPr>
          <w:b/>
        </w:rPr>
        <w:t xml:space="preserve"> </w:t>
      </w:r>
      <w:r w:rsidRPr="002B416E">
        <w:rPr>
          <w:b/>
        </w:rPr>
        <w:t>1183</w:t>
      </w:r>
    </w:p>
    <w:p w:rsidR="002B416E" w:rsidRDefault="002B416E" w:rsidP="002B416E">
      <w:pPr>
        <w:widowControl w:val="0"/>
        <w:rPr>
          <w:b/>
        </w:rPr>
      </w:pPr>
    </w:p>
    <w:p w:rsidR="002B416E" w:rsidRDefault="002B416E" w:rsidP="002B416E">
      <w:pPr>
        <w:widowControl w:val="0"/>
      </w:pPr>
      <w:r w:rsidRPr="002B416E">
        <w:rPr>
          <w:b/>
        </w:rPr>
        <w:t>STATUS INFORMATION</w:t>
      </w:r>
    </w:p>
    <w:p w:rsidR="002B416E" w:rsidRDefault="002B416E" w:rsidP="002B416E">
      <w:pPr>
        <w:widowControl w:val="0"/>
      </w:pPr>
    </w:p>
    <w:p w:rsidR="002B416E" w:rsidRDefault="002B416E" w:rsidP="002B416E">
      <w:pPr>
        <w:widowControl w:val="0"/>
      </w:pPr>
      <w:r>
        <w:t>General Bill</w:t>
      </w:r>
    </w:p>
    <w:p w:rsidR="002B416E" w:rsidRDefault="002B416E" w:rsidP="002B416E">
      <w:pPr>
        <w:widowControl w:val="0"/>
      </w:pPr>
      <w:r>
        <w:t>Sponsors: Senator Davis</w:t>
      </w:r>
    </w:p>
    <w:p w:rsidR="002B416E" w:rsidRDefault="002B416E" w:rsidP="002B416E">
      <w:pPr>
        <w:widowControl w:val="0"/>
      </w:pPr>
      <w:r>
        <w:t>Document Path: l:\s-res\td\014liht.kmm.td.docx</w:t>
      </w:r>
    </w:p>
    <w:p w:rsidR="002B416E" w:rsidRDefault="002B416E" w:rsidP="002B416E">
      <w:pPr>
        <w:widowControl w:val="0"/>
      </w:pPr>
    </w:p>
    <w:p w:rsidR="002B416E" w:rsidRDefault="002B416E" w:rsidP="002B416E">
      <w:pPr>
        <w:widowControl w:val="0"/>
      </w:pPr>
      <w:r>
        <w:t>Introduced in the Senate on March 23, 2016</w:t>
      </w:r>
    </w:p>
    <w:p w:rsidR="002B416E" w:rsidRDefault="002B416E" w:rsidP="002B416E">
      <w:pPr>
        <w:widowControl w:val="0"/>
      </w:pPr>
      <w:r>
        <w:t xml:space="preserve">Currently residing in the Senate Committee on </w:t>
      </w:r>
      <w:r w:rsidRPr="002B416E">
        <w:rPr>
          <w:b/>
        </w:rPr>
        <w:t>Labor, Commerce and Industry</w:t>
      </w:r>
    </w:p>
    <w:p w:rsidR="002B416E" w:rsidRDefault="002B416E" w:rsidP="002B416E">
      <w:pPr>
        <w:widowControl w:val="0"/>
      </w:pPr>
    </w:p>
    <w:p w:rsidR="002B416E" w:rsidRDefault="002B416E" w:rsidP="002B416E">
      <w:pPr>
        <w:widowControl w:val="0"/>
      </w:pPr>
      <w:r>
        <w:t xml:space="preserve">Summary: </w:t>
      </w:r>
      <w:r w:rsidR="00621B5B">
        <w:t>State Housing Finance and Development Authority</w:t>
      </w:r>
    </w:p>
    <w:p w:rsidR="002B416E" w:rsidRDefault="002B416E" w:rsidP="002B416E">
      <w:pPr>
        <w:widowControl w:val="0"/>
      </w:pPr>
    </w:p>
    <w:p w:rsidR="002B416E" w:rsidRDefault="002B416E" w:rsidP="002B416E">
      <w:pPr>
        <w:widowControl w:val="0"/>
      </w:pPr>
    </w:p>
    <w:p w:rsidR="002B416E" w:rsidRDefault="002B416E" w:rsidP="002B416E">
      <w:pPr>
        <w:widowControl w:val="0"/>
        <w:tabs>
          <w:tab w:val="center" w:pos="590"/>
          <w:tab w:val="center" w:pos="1440"/>
          <w:tab w:val="left" w:pos="1872"/>
          <w:tab w:val="left" w:pos="9187"/>
        </w:tabs>
      </w:pPr>
      <w:r w:rsidRPr="002B416E">
        <w:rPr>
          <w:b/>
        </w:rPr>
        <w:t>HISTORY OF LEGISLATIVE ACTIONS</w:t>
      </w:r>
    </w:p>
    <w:p w:rsidR="002B416E" w:rsidRDefault="002B416E" w:rsidP="002B416E">
      <w:pPr>
        <w:widowControl w:val="0"/>
        <w:tabs>
          <w:tab w:val="center" w:pos="590"/>
          <w:tab w:val="center" w:pos="1440"/>
          <w:tab w:val="left" w:pos="1872"/>
          <w:tab w:val="left" w:pos="9187"/>
        </w:tabs>
      </w:pPr>
    </w:p>
    <w:p w:rsidR="002B416E" w:rsidRPr="002B416E" w:rsidRDefault="002B416E" w:rsidP="002B416E">
      <w:pPr>
        <w:widowControl w:val="0"/>
        <w:tabs>
          <w:tab w:val="center" w:pos="590"/>
          <w:tab w:val="center" w:pos="1440"/>
          <w:tab w:val="left" w:pos="1872"/>
          <w:tab w:val="left" w:pos="9187"/>
        </w:tabs>
      </w:pPr>
      <w:r w:rsidRPr="002B416E">
        <w:rPr>
          <w:u w:val="single"/>
        </w:rPr>
        <w:tab/>
        <w:t>Date</w:t>
      </w:r>
      <w:r w:rsidRPr="002B416E">
        <w:rPr>
          <w:u w:val="single"/>
        </w:rPr>
        <w:tab/>
        <w:t>Body</w:t>
      </w:r>
      <w:r w:rsidRPr="002B416E">
        <w:rPr>
          <w:u w:val="single"/>
        </w:rPr>
        <w:tab/>
        <w:t>Action Description with journal page number</w:t>
      </w:r>
      <w:r w:rsidRPr="002B416E">
        <w:rPr>
          <w:u w:val="single"/>
        </w:rPr>
        <w:tab/>
      </w:r>
    </w:p>
    <w:p w:rsidR="0019506B" w:rsidRDefault="0019506B" w:rsidP="0019506B">
      <w:pPr>
        <w:widowControl w:val="0"/>
        <w:tabs>
          <w:tab w:val="right" w:pos="1008"/>
          <w:tab w:val="left" w:pos="1152"/>
          <w:tab w:val="left" w:pos="1872"/>
          <w:tab w:val="left" w:pos="9187"/>
        </w:tabs>
        <w:ind w:left="2088" w:hanging="2088"/>
      </w:pPr>
      <w:r>
        <w:tab/>
        <w:t>3/23/2016</w:t>
      </w:r>
      <w:r>
        <w:tab/>
        <w:t>Senate</w:t>
      </w:r>
      <w:r>
        <w:tab/>
      </w:r>
      <w:r w:rsidRPr="00BA277E">
        <w:t>Introduced and read first time (</w:t>
      </w:r>
      <w:hyperlink r:id="rId7" w:history="1">
        <w:r w:rsidRPr="008E20E2">
          <w:rPr>
            <w:rStyle w:val="Hyperlink"/>
          </w:rPr>
          <w:t>Senate Journal</w:t>
        </w:r>
        <w:r w:rsidRPr="008E20E2">
          <w:rPr>
            <w:rStyle w:val="Hyperlink"/>
          </w:rPr>
          <w:noBreakHyphen/>
          <w:t>page 4</w:t>
        </w:r>
      </w:hyperlink>
      <w:r w:rsidRPr="00BA277E">
        <w:t>)</w:t>
      </w:r>
    </w:p>
    <w:p w:rsidR="0019506B" w:rsidRDefault="0019506B" w:rsidP="0019506B">
      <w:pPr>
        <w:widowControl w:val="0"/>
        <w:tabs>
          <w:tab w:val="right" w:pos="1008"/>
          <w:tab w:val="left" w:pos="1152"/>
          <w:tab w:val="left" w:pos="1872"/>
          <w:tab w:val="left" w:pos="9187"/>
        </w:tabs>
        <w:ind w:left="2088" w:hanging="2088"/>
      </w:pPr>
      <w:r>
        <w:tab/>
        <w:t>3/23/2016</w:t>
      </w:r>
      <w:r>
        <w:tab/>
        <w:t>Senate</w:t>
      </w:r>
      <w:r>
        <w:tab/>
      </w:r>
      <w:r w:rsidRPr="00BA277E">
        <w:t>Referred to C</w:t>
      </w:r>
      <w:r>
        <w:t xml:space="preserve">ommittee on </w:t>
      </w:r>
      <w:r w:rsidRPr="00BA277E">
        <w:rPr>
          <w:b/>
        </w:rPr>
        <w:t>Labor, Commerce and Industry</w:t>
      </w:r>
      <w:r w:rsidRPr="00BA277E">
        <w:t xml:space="preserve"> (</w:t>
      </w:r>
      <w:hyperlink r:id="rId8" w:history="1">
        <w:r w:rsidRPr="008E20E2">
          <w:rPr>
            <w:rStyle w:val="Hyperlink"/>
          </w:rPr>
          <w:t>Senate Journal</w:t>
        </w:r>
        <w:r w:rsidRPr="008E20E2">
          <w:rPr>
            <w:rStyle w:val="Hyperlink"/>
          </w:rPr>
          <w:noBreakHyphen/>
          <w:t>page 4</w:t>
        </w:r>
      </w:hyperlink>
      <w:r w:rsidRPr="00BA277E">
        <w:t>)</w:t>
      </w:r>
    </w:p>
    <w:p w:rsidR="0019506B" w:rsidRDefault="0019506B" w:rsidP="0019506B">
      <w:pPr>
        <w:widowControl w:val="0"/>
        <w:tabs>
          <w:tab w:val="right" w:pos="1008"/>
          <w:tab w:val="left" w:pos="1152"/>
          <w:tab w:val="left" w:pos="1872"/>
          <w:tab w:val="left" w:pos="9187"/>
        </w:tabs>
        <w:ind w:left="2088" w:hanging="2088"/>
      </w:pPr>
    </w:p>
    <w:p w:rsidR="002B416E" w:rsidRDefault="002B416E" w:rsidP="002B416E">
      <w:pPr>
        <w:widowControl w:val="0"/>
        <w:tabs>
          <w:tab w:val="right" w:pos="1008"/>
          <w:tab w:val="left" w:pos="1152"/>
          <w:tab w:val="left" w:pos="1872"/>
          <w:tab w:val="left" w:pos="9187"/>
        </w:tabs>
        <w:ind w:left="2088" w:hanging="2088"/>
      </w:pPr>
      <w:r>
        <w:t xml:space="preserve">View the latest </w:t>
      </w:r>
      <w:hyperlink r:id="rId9" w:history="1">
        <w:r w:rsidRPr="002B416E">
          <w:rPr>
            <w:rStyle w:val="Hyperlink"/>
          </w:rPr>
          <w:t>legislative information</w:t>
        </w:r>
      </w:hyperlink>
      <w:r>
        <w:t xml:space="preserve"> at the website</w:t>
      </w:r>
    </w:p>
    <w:p w:rsidR="002B416E" w:rsidRDefault="002B416E" w:rsidP="002B416E">
      <w:pPr>
        <w:widowControl w:val="0"/>
        <w:tabs>
          <w:tab w:val="right" w:pos="1008"/>
          <w:tab w:val="left" w:pos="1152"/>
          <w:tab w:val="left" w:pos="1872"/>
          <w:tab w:val="left" w:pos="9187"/>
        </w:tabs>
        <w:ind w:left="2088" w:hanging="2088"/>
      </w:pPr>
    </w:p>
    <w:p w:rsidR="002B416E" w:rsidRPr="002B416E" w:rsidRDefault="002B416E" w:rsidP="002B416E">
      <w:pPr>
        <w:widowControl w:val="0"/>
        <w:tabs>
          <w:tab w:val="right" w:pos="1008"/>
          <w:tab w:val="left" w:pos="1152"/>
          <w:tab w:val="left" w:pos="1872"/>
          <w:tab w:val="left" w:pos="9187"/>
        </w:tabs>
        <w:ind w:left="2088" w:hanging="2088"/>
      </w:pPr>
    </w:p>
    <w:p w:rsidR="002B416E" w:rsidRDefault="002B416E" w:rsidP="002B416E">
      <w:pPr>
        <w:widowControl w:val="0"/>
      </w:pPr>
      <w:r w:rsidRPr="002B416E">
        <w:rPr>
          <w:b/>
        </w:rPr>
        <w:t>VERSIONS OF THIS BILL</w:t>
      </w:r>
    </w:p>
    <w:p w:rsidR="002B416E" w:rsidRDefault="002B416E" w:rsidP="002B416E">
      <w:pPr>
        <w:widowControl w:val="0"/>
      </w:pPr>
    </w:p>
    <w:p w:rsidR="002B416E" w:rsidRDefault="008E20E2" w:rsidP="002B416E">
      <w:pPr>
        <w:widowControl w:val="0"/>
      </w:pPr>
      <w:hyperlink r:id="rId10" w:history="1">
        <w:r w:rsidR="002B416E">
          <w:rPr>
            <w:rStyle w:val="Hyperlink"/>
          </w:rPr>
          <w:t>3/23/2016</w:t>
        </w:r>
      </w:hyperlink>
    </w:p>
    <w:p w:rsidR="002B416E" w:rsidRDefault="002B416E" w:rsidP="002B416E"/>
    <w:p w:rsidR="002B416E" w:rsidRDefault="002B416E" w:rsidP="002B416E">
      <w:pPr>
        <w:sectPr w:rsidR="002B416E" w:rsidSect="002B416E">
          <w:pgSz w:w="12240" w:h="15840" w:code="1"/>
          <w:pgMar w:top="1080" w:right="1440" w:bottom="1080" w:left="1440" w:header="720" w:footer="720" w:gutter="0"/>
          <w:cols w:space="720"/>
          <w:noEndnote/>
          <w:docGrid w:linePitch="360"/>
        </w:sectPr>
      </w:pPr>
    </w:p>
    <w:p w:rsidR="00783A45" w:rsidRPr="00522CE0" w:rsidRDefault="00783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2E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71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31</w:t>
      </w:r>
      <w:r w:rsidR="008604D6">
        <w:rPr>
          <w:rFonts w:eastAsia="Times New Roman"/>
        </w:rPr>
        <w:noBreakHyphen/>
      </w:r>
      <w:r>
        <w:rPr>
          <w:rFonts w:eastAsia="Times New Roman"/>
        </w:rPr>
        <w:t>13</w:t>
      </w:r>
      <w:r w:rsidR="008604D6">
        <w:rPr>
          <w:rFonts w:eastAsia="Times New Roman"/>
        </w:rPr>
        <w:noBreakHyphen/>
      </w:r>
      <w:r>
        <w:rPr>
          <w:rFonts w:eastAsia="Times New Roman"/>
        </w:rPr>
        <w:t>50 OF THE 1976 CODE, RELATING TO THE STATE HOUSING FINANCE AND DEVELOPMENT AUTHORITY, TO PROVIDE THAT THE AUTHORITY SHALL DEVELOP A QUALIF</w:t>
      </w:r>
      <w:r w:rsidR="00A36D24">
        <w:rPr>
          <w:rFonts w:eastAsia="Times New Roman"/>
        </w:rPr>
        <w:t xml:space="preserve">IED ALLOCATION PLAN FOR THE LOW </w:t>
      </w:r>
      <w:r>
        <w:rPr>
          <w:rFonts w:eastAsia="Times New Roman"/>
        </w:rPr>
        <w:t xml:space="preserve">INCOME HOUSING TAX CREDIT PROGRAM; TO PROVIDE </w:t>
      </w:r>
      <w:r w:rsidR="007432A8">
        <w:rPr>
          <w:rFonts w:eastAsia="Times New Roman"/>
        </w:rPr>
        <w:t>FOR FACTORS THAT MUST BE IN THE PLAN AND THE WEIGHTING OF THE FACTORS</w:t>
      </w:r>
      <w:r>
        <w:rPr>
          <w:rFonts w:eastAsia="Times New Roman"/>
        </w:rPr>
        <w:t>; TO PROVIDE THAT A DEVELOPER OR DEVELOPMENT GROUP MUST MEET SEVENTY</w:t>
      </w:r>
      <w:r w:rsidR="008604D6">
        <w:rPr>
          <w:rFonts w:eastAsia="Times New Roman"/>
        </w:rPr>
        <w:noBreakHyphen/>
      </w:r>
      <w:r>
        <w:rPr>
          <w:rFonts w:eastAsia="Times New Roman"/>
        </w:rPr>
        <w:t>FIVE PERCENT, OR A NUMBER ROUNDED UP OR DOWN TO THE NEAREST WHOLE NUMBER, OF THE POSITIVE SITE CHARACTERISTICS TO RECEI</w:t>
      </w:r>
      <w:r w:rsidR="00B53675">
        <w:rPr>
          <w:rFonts w:eastAsia="Times New Roman"/>
        </w:rPr>
        <w:t>VE FULL CREDIT FOR THAT FACTOR;</w:t>
      </w:r>
      <w:r>
        <w:rPr>
          <w:rFonts w:eastAsia="Times New Roman"/>
        </w:rPr>
        <w:t xml:space="preserve"> TO PROVIDE </w:t>
      </w:r>
      <w:r w:rsidR="007432A8">
        <w:rPr>
          <w:rFonts w:eastAsia="Times New Roman"/>
        </w:rPr>
        <w:t>FOR</w:t>
      </w:r>
      <w:r w:rsidR="00A36D24">
        <w:rPr>
          <w:rFonts w:eastAsia="Times New Roman"/>
        </w:rPr>
        <w:t xml:space="preserve"> TIE</w:t>
      </w:r>
      <w:r>
        <w:rPr>
          <w:rFonts w:eastAsia="Times New Roman"/>
        </w:rPr>
        <w:t>BREAKER</w:t>
      </w:r>
      <w:r w:rsidR="007432A8">
        <w:rPr>
          <w:rFonts w:eastAsia="Times New Roman"/>
        </w:rPr>
        <w:t>S</w:t>
      </w:r>
      <w:r w:rsidR="00B53675" w:rsidRPr="00B53675">
        <w:rPr>
          <w:rFonts w:eastAsia="Times New Roman"/>
        </w:rPr>
        <w:t xml:space="preserve">; AND </w:t>
      </w:r>
      <w:r w:rsidR="00073A45">
        <w:rPr>
          <w:rFonts w:eastAsia="Times New Roman"/>
        </w:rPr>
        <w:t xml:space="preserve">BY ADDING </w:t>
      </w:r>
      <w:r w:rsidR="00F4488D">
        <w:rPr>
          <w:rFonts w:eastAsia="Times New Roman"/>
        </w:rPr>
        <w:t xml:space="preserve">ARTICLE 2 TO CHAPTER 13, TITLE 31 </w:t>
      </w:r>
      <w:r w:rsidR="00B53675" w:rsidRPr="00B53675">
        <w:rPr>
          <w:rFonts w:eastAsia="Times New Roman"/>
        </w:rPr>
        <w:t xml:space="preserve">TO </w:t>
      </w:r>
      <w:r w:rsidR="00B53675">
        <w:rPr>
          <w:rFonts w:eastAsia="Times New Roman"/>
        </w:rPr>
        <w:t>CREATE THE STATE HOUSING FINANCE AND DEVELOPMENT AUTHORITY QUALIFIED ALLOCATION PLAN ADVISORY PANEL</w:t>
      </w:r>
      <w:r w:rsidR="007432A8">
        <w:rPr>
          <w:rFonts w:eastAsia="Times New Roman"/>
        </w:rPr>
        <w:t>, TO PROVIDE FOR COMPOSITION OF THE PANEL, AND ITS DUTIES AND RESPONSIBILITIES</w:t>
      </w:r>
      <w:r w:rsidR="00B5367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2E2A"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2E2A"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842E2A"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29D0">
        <w:rPr>
          <w:rFonts w:eastAsia="Times New Roman"/>
        </w:rPr>
        <w:t>Section 31</w:t>
      </w:r>
      <w:r w:rsidR="008604D6">
        <w:rPr>
          <w:rFonts w:eastAsia="Times New Roman"/>
        </w:rPr>
        <w:noBreakHyphen/>
      </w:r>
      <w:r w:rsidR="00E129D0">
        <w:rPr>
          <w:rFonts w:eastAsia="Times New Roman"/>
        </w:rPr>
        <w:t>13</w:t>
      </w:r>
      <w:r w:rsidR="008604D6">
        <w:rPr>
          <w:rFonts w:eastAsia="Times New Roman"/>
        </w:rPr>
        <w:noBreakHyphen/>
      </w:r>
      <w:r w:rsidR="00E129D0">
        <w:rPr>
          <w:rFonts w:eastAsia="Times New Roman"/>
        </w:rPr>
        <w:t>50 of the 1976 Code is amended to read:</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50.</w:t>
      </w:r>
      <w:r>
        <w:rPr>
          <w:rFonts w:eastAsia="Times New Roman"/>
        </w:rPr>
        <w:tab/>
      </w:r>
      <w:r>
        <w:rPr>
          <w:rFonts w:eastAsia="Times New Roman"/>
          <w:u w:val="single"/>
        </w:rPr>
        <w:t>(A)</w:t>
      </w:r>
      <w:r>
        <w:rPr>
          <w:rFonts w:eastAsia="Times New Roman"/>
        </w:rPr>
        <w:tab/>
      </w:r>
      <w:r w:rsidRPr="00C34DBC">
        <w:rPr>
          <w:rFonts w:eastAsia="Times New Roman"/>
        </w:rPr>
        <w:t xml:space="preserve">Except as otherwise provided in this article, the Authority and its commissioners have the same functions, rights, powers, duties, privileges, immunities, and limitations as those provided for housing authorities created for cities, counties or groups of counties, and the commissioners of the housing authorities. The Authority also may make home equity conversion mortgages to any person who is a member of a </w:t>
      </w:r>
      <w:r w:rsidRPr="00C34DBC">
        <w:rPr>
          <w:rFonts w:eastAsia="Times New Roman"/>
        </w:rPr>
        <w:lastRenderedPageBreak/>
        <w:t>beneficiary class of the Authority as provided in Section 31</w:t>
      </w:r>
      <w:r w:rsidR="008604D6">
        <w:rPr>
          <w:rFonts w:eastAsia="Times New Roman"/>
        </w:rPr>
        <w:noBreakHyphen/>
      </w:r>
      <w:r w:rsidRPr="00C34DBC">
        <w:rPr>
          <w:rFonts w:eastAsia="Times New Roman"/>
        </w:rPr>
        <w:t>13</w:t>
      </w:r>
      <w:r w:rsidR="008604D6">
        <w:rPr>
          <w:rFonts w:eastAsia="Times New Roman"/>
        </w:rPr>
        <w:noBreakHyphen/>
      </w:r>
      <w:r w:rsidRPr="00C34DBC">
        <w:rPr>
          <w:rFonts w:eastAsia="Times New Roman"/>
        </w:rPr>
        <w:t>170(b), (o), and (p) and who is over sixty</w:t>
      </w:r>
      <w:r w:rsidR="008604D6">
        <w:rPr>
          <w:rFonts w:eastAsia="Times New Roman"/>
        </w:rPr>
        <w:noBreakHyphen/>
      </w:r>
      <w:r w:rsidRPr="00C34DBC">
        <w:rPr>
          <w:rFonts w:eastAsia="Times New Roman"/>
        </w:rPr>
        <w:t xml:space="preserve">five years of age. The Authority may prepare and administer a program for the home equity conversion mortgages and may coordinate any available funding for the program with the federal government and the private sector. Money received as a result of obtaining a home equity conversion mortgage must not be counted as income in a determination of entitlement to any public assistance. The term </w:t>
      </w:r>
      <w:r w:rsidR="008604D6" w:rsidRPr="008604D6">
        <w:rPr>
          <w:rFonts w:eastAsia="Times New Roman"/>
        </w:rPr>
        <w:t>‘</w:t>
      </w:r>
      <w:r w:rsidRPr="00C34DBC">
        <w:rPr>
          <w:rFonts w:eastAsia="Times New Roman"/>
        </w:rPr>
        <w:t>home conversion mortgage</w:t>
      </w:r>
      <w:r w:rsidR="008604D6" w:rsidRPr="008604D6">
        <w:rPr>
          <w:rFonts w:eastAsia="Times New Roman"/>
        </w:rPr>
        <w:t>’</w:t>
      </w:r>
      <w:r w:rsidRPr="00C34DBC">
        <w:rPr>
          <w:rFonts w:eastAsia="Times New Roman"/>
        </w:rPr>
        <w:t xml:space="preserve"> means a first mortgage which provides for future payments to the homeowner based on accumulated equity.</w:t>
      </w:r>
    </w:p>
    <w:p w:rsidR="00E129D0" w:rsidRPr="0051140A"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rPr>
      </w:pPr>
      <w:r>
        <w:rPr>
          <w:rFonts w:eastAsia="Times New Roman"/>
        </w:rPr>
        <w:tab/>
      </w:r>
      <w:r>
        <w:rPr>
          <w:rFonts w:eastAsia="Times New Roman"/>
          <w:u w:val="single"/>
        </w:rPr>
        <w:t>(B)(1)</w:t>
      </w:r>
      <w:r>
        <w:rPr>
          <w:rFonts w:eastAsia="Times New Roman"/>
        </w:rPr>
        <w:tab/>
      </w:r>
      <w:r>
        <w:rPr>
          <w:rFonts w:eastAsia="Times New Roman"/>
          <w:u w:val="single"/>
        </w:rPr>
        <w:t>The Authority shall develop a Qualif</w:t>
      </w:r>
      <w:r w:rsidR="008604D6">
        <w:rPr>
          <w:rFonts w:eastAsia="Times New Roman"/>
          <w:u w:val="single"/>
        </w:rPr>
        <w:t xml:space="preserve">ied Allocation Plan for the Low </w:t>
      </w:r>
      <w:r>
        <w:rPr>
          <w:rFonts w:eastAsia="Times New Roman"/>
          <w:u w:val="single"/>
        </w:rPr>
        <w:t>Income Housing Tax Credit Program. The Qualified Allocation Plan must be comprised of equally weighted factors, including, but not limited to:</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(a)</w:t>
      </w:r>
      <w:r>
        <w:rPr>
          <w:rFonts w:eastAsia="Times New Roman"/>
        </w:rPr>
        <w:tab/>
      </w:r>
      <w:r w:rsidRPr="00C60557">
        <w:rPr>
          <w:rFonts w:eastAsia="Times New Roman"/>
          <w:u w:val="single"/>
        </w:rPr>
        <w:t>development experience;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sidRPr="00C60557">
        <w:rPr>
          <w:rFonts w:eastAsia="Times New Roman"/>
          <w:u w:val="single"/>
        </w:rPr>
        <w:t>the financial capacity of the applicant or applicant grou</w:t>
      </w:r>
      <w:r w:rsidR="00A36D24">
        <w:rPr>
          <w:rFonts w:eastAsia="Times New Roman"/>
          <w:u w:val="single"/>
        </w:rPr>
        <w:t>p;</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previous year</w:t>
      </w:r>
      <w:r w:rsidR="008604D6" w:rsidRPr="008604D6">
        <w:rPr>
          <w:rFonts w:eastAsia="Times New Roman"/>
          <w:u w:val="single"/>
        </w:rPr>
        <w:t>’</w:t>
      </w:r>
      <w:r>
        <w:rPr>
          <w:rFonts w:eastAsia="Times New Roman"/>
          <w:u w:val="single"/>
        </w:rPr>
        <w:t>s development completion status for non</w:t>
      </w:r>
      <w:r w:rsidR="008604D6">
        <w:rPr>
          <w:rFonts w:eastAsia="Times New Roman"/>
          <w:u w:val="single"/>
        </w:rPr>
        <w:noBreakHyphen/>
      </w:r>
      <w:r>
        <w:rPr>
          <w:rFonts w:eastAsia="Times New Roman"/>
          <w:u w:val="single"/>
        </w:rPr>
        <w:t>first time applicants;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the proposed housing project</w:t>
      </w:r>
      <w:r w:rsidR="008604D6" w:rsidRPr="008604D6">
        <w:rPr>
          <w:rFonts w:eastAsia="Times New Roman"/>
          <w:u w:val="single"/>
        </w:rPr>
        <w:t>’</w:t>
      </w:r>
      <w:r>
        <w:rPr>
          <w:rFonts w:eastAsia="Times New Roman"/>
          <w:u w:val="single"/>
        </w:rPr>
        <w:t>s proximity to positive site characteristics, including at least:</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w:t>
      </w:r>
      <w:r>
        <w:rPr>
          <w:rFonts w:eastAsia="Times New Roman"/>
        </w:rPr>
        <w:tab/>
      </w:r>
      <w:r>
        <w:rPr>
          <w:rFonts w:eastAsia="Times New Roman"/>
        </w:rPr>
        <w:tab/>
      </w:r>
      <w:r>
        <w:rPr>
          <w:rFonts w:eastAsia="Times New Roman"/>
          <w:u w:val="single"/>
        </w:rPr>
        <w:t>full service groceries;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(ii)</w:t>
      </w:r>
      <w:r>
        <w:rPr>
          <w:rFonts w:eastAsia="Times New Roman"/>
        </w:rPr>
        <w:tab/>
      </w:r>
      <w:r>
        <w:rPr>
          <w:rFonts w:eastAsia="Times New Roman"/>
          <w:u w:val="single"/>
        </w:rPr>
        <w:t>pharmacy or drug stores;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45566A">
        <w:rPr>
          <w:rFonts w:eastAsia="Times New Roman"/>
          <w:u w:val="single"/>
        </w:rPr>
        <w:t>(iii)</w:t>
      </w:r>
      <w:r>
        <w:rPr>
          <w:rFonts w:eastAsia="Times New Roman"/>
        </w:rPr>
        <w:tab/>
      </w:r>
      <w:r>
        <w:rPr>
          <w:rFonts w:eastAsia="Times New Roman"/>
          <w:u w:val="single"/>
        </w:rPr>
        <w:t>convenience stores and gas stations;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(iv)</w:t>
      </w:r>
      <w:r>
        <w:rPr>
          <w:rFonts w:eastAsia="Times New Roman"/>
        </w:rPr>
        <w:tab/>
      </w:r>
      <w:r>
        <w:rPr>
          <w:rFonts w:eastAsia="Times New Roman"/>
          <w:u w:val="single"/>
        </w:rPr>
        <w:t>restaurants currently licensed by DHEC;</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45566A">
        <w:rPr>
          <w:rFonts w:eastAsia="Times New Roman"/>
          <w:u w:val="single"/>
        </w:rPr>
        <w:t>(v)</w:t>
      </w:r>
      <w:r>
        <w:rPr>
          <w:rFonts w:eastAsia="Times New Roman"/>
        </w:rPr>
        <w:tab/>
      </w:r>
      <w:r>
        <w:rPr>
          <w:rFonts w:eastAsia="Times New Roman"/>
          <w:u w:val="single"/>
        </w:rPr>
        <w:t>entertainment venues, including but</w:t>
      </w:r>
      <w:r w:rsidR="00A36D24">
        <w:rPr>
          <w:rFonts w:eastAsia="Times New Roman"/>
          <w:u w:val="single"/>
        </w:rPr>
        <w:t xml:space="preserve"> not limited to, museums, theat</w:t>
      </w:r>
      <w:r>
        <w:rPr>
          <w:rFonts w:eastAsia="Times New Roman"/>
          <w:u w:val="single"/>
        </w:rPr>
        <w:t>ers, cinemas, public libraries, bowling alleys, skating rinks, and miniature golf venues;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(vi)</w:t>
      </w:r>
      <w:r>
        <w:rPr>
          <w:rFonts w:eastAsia="Times New Roman"/>
        </w:rPr>
        <w:tab/>
      </w:r>
      <w:r>
        <w:rPr>
          <w:rFonts w:eastAsia="Times New Roman"/>
          <w:u w:val="single"/>
        </w:rPr>
        <w:t>retail shopping areas;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(vii)</w:t>
      </w:r>
      <w:r>
        <w:rPr>
          <w:rFonts w:eastAsia="Times New Roman"/>
        </w:rPr>
        <w:tab/>
      </w:r>
      <w:r>
        <w:rPr>
          <w:rFonts w:eastAsia="Times New Roman"/>
          <w:u w:val="single"/>
        </w:rPr>
        <w:t>do</w:t>
      </w:r>
      <w:r w:rsidR="00A36D24">
        <w:rPr>
          <w:rFonts w:eastAsia="Times New Roman"/>
          <w:u w:val="single"/>
        </w:rPr>
        <w:t>ctor</w:t>
      </w:r>
      <w:r w:rsidR="008604D6" w:rsidRPr="008604D6">
        <w:rPr>
          <w:rFonts w:eastAsia="Times New Roman"/>
          <w:u w:val="single"/>
        </w:rPr>
        <w:t>’</w:t>
      </w:r>
      <w:r w:rsidR="00A36D24">
        <w:rPr>
          <w:rFonts w:eastAsia="Times New Roman"/>
          <w:u w:val="single"/>
        </w:rPr>
        <w:t>s office staffed with full</w:t>
      </w:r>
      <w:r w:rsidR="008604D6">
        <w:rPr>
          <w:rFonts w:eastAsia="Times New Roman"/>
          <w:u w:val="single"/>
        </w:rPr>
        <w:noBreakHyphen/>
      </w:r>
      <w:r>
        <w:rPr>
          <w:rFonts w:eastAsia="Times New Roman"/>
          <w:u w:val="single"/>
        </w:rPr>
        <w:t>time general practitioner or a nurse practitioner, emergency clinics, urgent care facilities, or hospital facilities available to the general public;</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45566A">
        <w:rPr>
          <w:rFonts w:eastAsia="Times New Roman"/>
          <w:u w:val="single"/>
        </w:rPr>
        <w:t>(viii)</w:t>
      </w:r>
      <w:r>
        <w:rPr>
          <w:rFonts w:eastAsia="Times New Roman"/>
        </w:rPr>
        <w:tab/>
      </w:r>
      <w:r>
        <w:rPr>
          <w:rFonts w:eastAsia="Times New Roman"/>
          <w:u w:val="single"/>
        </w:rPr>
        <w:t>public schools;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(ix)</w:t>
      </w:r>
      <w:r>
        <w:rPr>
          <w:rFonts w:eastAsia="Times New Roman"/>
        </w:rPr>
        <w:tab/>
      </w:r>
      <w:r>
        <w:rPr>
          <w:rFonts w:eastAsia="Times New Roman"/>
          <w:u w:val="single"/>
        </w:rPr>
        <w:t>a fire station;</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(x)</w:t>
      </w:r>
      <w:r>
        <w:rPr>
          <w:rFonts w:eastAsia="Times New Roman"/>
        </w:rPr>
        <w:tab/>
      </w:r>
      <w:r>
        <w:rPr>
          <w:rFonts w:eastAsia="Times New Roman"/>
          <w:u w:val="single"/>
        </w:rPr>
        <w:t>full service banks or credit unions; and</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(xi)</w:t>
      </w:r>
      <w:r>
        <w:rPr>
          <w:rFonts w:eastAsia="Times New Roman"/>
        </w:rPr>
        <w:tab/>
      </w:r>
      <w:r>
        <w:rPr>
          <w:rFonts w:eastAsia="Times New Roman"/>
          <w:u w:val="single"/>
        </w:rPr>
        <w:t>a public park or playground, recreation center, senior activity center, YMCA, or the like.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(e)</w:t>
      </w:r>
      <w:r>
        <w:rPr>
          <w:rFonts w:eastAsia="Times New Roman"/>
        </w:rPr>
        <w:tab/>
      </w:r>
      <w:r>
        <w:rPr>
          <w:rFonts w:eastAsia="Times New Roman"/>
          <w:u w:val="single"/>
        </w:rPr>
        <w:t>the capture rate;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(f)</w:t>
      </w:r>
      <w:r>
        <w:rPr>
          <w:rFonts w:eastAsia="Times New Roman"/>
        </w:rPr>
        <w:tab/>
      </w:r>
      <w:r>
        <w:rPr>
          <w:rFonts w:eastAsia="Times New Roman"/>
          <w:u w:val="single"/>
        </w:rPr>
        <w:t>the market advantage; and</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(g)</w:t>
      </w:r>
      <w:r>
        <w:rPr>
          <w:rFonts w:eastAsia="Times New Roman"/>
        </w:rPr>
        <w:tab/>
      </w:r>
      <w:r w:rsidR="00A36D24">
        <w:rPr>
          <w:rFonts w:eastAsia="Times New Roman"/>
          <w:u w:val="single"/>
        </w:rPr>
        <w:t>the overall vacancy rate.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sidR="00574E08">
        <w:rPr>
          <w:rFonts w:eastAsia="Times New Roman"/>
          <w:u w:val="single"/>
        </w:rPr>
        <w:t>(1)</w:t>
      </w:r>
      <w:r>
        <w:rPr>
          <w:rFonts w:eastAsia="Times New Roman"/>
        </w:rPr>
        <w:tab/>
      </w:r>
      <w:r>
        <w:rPr>
          <w:rFonts w:eastAsia="Times New Roman"/>
          <w:u w:val="single"/>
        </w:rPr>
        <w:t xml:space="preserve">To receive full credit for the positive site characteristics factor, a developer or development group </w:t>
      </w:r>
      <w:r w:rsidR="003B2E55">
        <w:rPr>
          <w:rFonts w:eastAsia="Times New Roman"/>
          <w:u w:val="single"/>
        </w:rPr>
        <w:t>must</w:t>
      </w:r>
      <w:r>
        <w:rPr>
          <w:rFonts w:eastAsia="Times New Roman"/>
          <w:u w:val="single"/>
        </w:rPr>
        <w:t xml:space="preserve"> meet </w:t>
      </w:r>
      <w:r w:rsidR="003B2E55">
        <w:rPr>
          <w:rFonts w:eastAsia="Times New Roman"/>
          <w:u w:val="single"/>
        </w:rPr>
        <w:t xml:space="preserve">at least </w:t>
      </w:r>
      <w:r>
        <w:rPr>
          <w:rFonts w:eastAsia="Times New Roman"/>
          <w:u w:val="single"/>
        </w:rPr>
        <w:t>seventy</w:t>
      </w:r>
      <w:r w:rsidR="008604D6">
        <w:rPr>
          <w:rFonts w:eastAsia="Times New Roman"/>
          <w:u w:val="single"/>
        </w:rPr>
        <w:noBreakHyphen/>
      </w:r>
      <w:r>
        <w:rPr>
          <w:rFonts w:eastAsia="Times New Roman"/>
          <w:u w:val="single"/>
        </w:rPr>
        <w:t>five percent of the characteristics</w:t>
      </w:r>
      <w:r w:rsidR="007B1049">
        <w:rPr>
          <w:rFonts w:eastAsia="Times New Roman"/>
          <w:u w:val="single"/>
        </w:rPr>
        <w:t>,</w:t>
      </w:r>
      <w:r>
        <w:rPr>
          <w:rFonts w:eastAsia="Times New Roman"/>
          <w:u w:val="single"/>
        </w:rPr>
        <w:t xml:space="preserve"> as chosen by the developer or development group.</w:t>
      </w:r>
      <w:r w:rsidR="00D96689">
        <w:rPr>
          <w:rFonts w:eastAsia="Times New Roman"/>
          <w:u w:val="single"/>
        </w:rPr>
        <w:t xml:space="preserve"> The percentage met by a developer or development group shall be rounded up or down to the nearest whole number.</w:t>
      </w:r>
    </w:p>
    <w:p w:rsidR="00574E08" w:rsidRPr="001D4BE5" w:rsidRDefault="00574E08"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74E08">
        <w:rPr>
          <w:rFonts w:eastAsia="Times New Roman"/>
        </w:rPr>
        <w:tab/>
      </w:r>
      <w:r w:rsidRPr="00574E08">
        <w:rPr>
          <w:rFonts w:eastAsia="Times New Roman"/>
        </w:rPr>
        <w:tab/>
      </w:r>
      <w:r>
        <w:rPr>
          <w:rFonts w:eastAsia="Times New Roman"/>
          <w:u w:val="single"/>
        </w:rPr>
        <w:t>(2)</w:t>
      </w:r>
      <w:r w:rsidRPr="00574E08">
        <w:rPr>
          <w:rFonts w:eastAsia="Times New Roman"/>
        </w:rPr>
        <w:tab/>
      </w:r>
      <w:r w:rsidRPr="00574E08">
        <w:rPr>
          <w:rFonts w:eastAsia="Times New Roman"/>
          <w:u w:val="single"/>
        </w:rPr>
        <w:t xml:space="preserve">Any tiebreaker </w:t>
      </w:r>
      <w:r w:rsidR="007B1049">
        <w:rPr>
          <w:rFonts w:eastAsia="Times New Roman"/>
          <w:u w:val="single"/>
        </w:rPr>
        <w:t xml:space="preserve">or total development cost caps </w:t>
      </w:r>
      <w:r w:rsidRPr="00574E08">
        <w:rPr>
          <w:rFonts w:eastAsia="Times New Roman"/>
          <w:u w:val="single"/>
        </w:rPr>
        <w:t xml:space="preserve">related to the financial criteria </w:t>
      </w:r>
      <w:r>
        <w:rPr>
          <w:rFonts w:eastAsia="Times New Roman"/>
          <w:u w:val="single"/>
        </w:rPr>
        <w:t>contained in the Qualified Allocation Plan</w:t>
      </w:r>
      <w:r w:rsidRPr="00574E08">
        <w:rPr>
          <w:rFonts w:eastAsia="Times New Roman"/>
          <w:u w:val="single"/>
        </w:rPr>
        <w:t>, including, but not limited to an eligible basis per heated square foot tiebreaker, must take into account relative disparities between real property costs between projects due to the location of the projects, environmental requirements, zoning</w:t>
      </w:r>
      <w:r>
        <w:rPr>
          <w:rFonts w:eastAsia="Times New Roman"/>
          <w:u w:val="single"/>
        </w:rPr>
        <w:t xml:space="preserve"> a</w:t>
      </w:r>
      <w:r w:rsidR="00A36D24">
        <w:rPr>
          <w:rFonts w:eastAsia="Times New Roman"/>
          <w:u w:val="single"/>
        </w:rPr>
        <w:t xml:space="preserve">nd building code requirements. </w:t>
      </w:r>
      <w:r>
        <w:rPr>
          <w:rFonts w:eastAsia="Times New Roman"/>
          <w:u w:val="single"/>
        </w:rPr>
        <w:t xml:space="preserve">The tiebreaker </w:t>
      </w:r>
      <w:r w:rsidR="007C4C87">
        <w:rPr>
          <w:rFonts w:eastAsia="Times New Roman"/>
          <w:u w:val="single"/>
        </w:rPr>
        <w:t xml:space="preserve">or total development cost caps </w:t>
      </w:r>
      <w:r>
        <w:rPr>
          <w:rFonts w:eastAsia="Times New Roman"/>
          <w:u w:val="single"/>
        </w:rPr>
        <w:t>must also take into account</w:t>
      </w:r>
      <w:r w:rsidRPr="00574E08">
        <w:rPr>
          <w:rFonts w:eastAsia="Times New Roman"/>
          <w:u w:val="single"/>
        </w:rPr>
        <w:t xml:space="preserve"> whether a proposed development is located in a HUD designated Difficult to Develop Area and other relevant factors</w:t>
      </w:r>
      <w:r w:rsidR="007C4C87">
        <w:rPr>
          <w:rFonts w:eastAsia="Times New Roman"/>
          <w:u w:val="single"/>
        </w:rPr>
        <w:t>, which shall include</w:t>
      </w:r>
      <w:r w:rsidR="00A36D24">
        <w:rPr>
          <w:rFonts w:eastAsia="Times New Roman"/>
          <w:u w:val="single"/>
        </w:rPr>
        <w:t>,</w:t>
      </w:r>
      <w:r w:rsidR="007C4C87">
        <w:rPr>
          <w:rFonts w:eastAsia="Times New Roman"/>
          <w:u w:val="single"/>
        </w:rPr>
        <w:t xml:space="preserve"> but not be limited to</w:t>
      </w:r>
      <w:r w:rsidR="00A36D24">
        <w:rPr>
          <w:rFonts w:eastAsia="Times New Roman"/>
          <w:u w:val="single"/>
        </w:rPr>
        <w:t>,</w:t>
      </w:r>
      <w:r w:rsidR="007C4C87">
        <w:rPr>
          <w:rFonts w:eastAsia="Times New Roman"/>
          <w:u w:val="single"/>
        </w:rPr>
        <w:t xml:space="preserve"> the location of projects in coastal zones of the state</w:t>
      </w:r>
      <w:r w:rsidR="00A36D24">
        <w:rPr>
          <w:rFonts w:eastAsia="Times New Roman"/>
          <w:u w:val="single"/>
        </w:rPr>
        <w:t>.</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C34DBC">
        <w:rPr>
          <w:rFonts w:eastAsia="Times New Roman"/>
        </w:rPr>
        <w:t xml:space="preserve">The provisions of this chapter and Chapter 11 apply to the Authority in the same manner and to the same extent as the provisions are applicable to a housing authority created for a city or a county, and the term </w:t>
      </w:r>
      <w:r w:rsidR="008604D6" w:rsidRPr="008604D6">
        <w:rPr>
          <w:rFonts w:eastAsia="Times New Roman"/>
        </w:rPr>
        <w:t>‘</w:t>
      </w:r>
      <w:r w:rsidRPr="00C34DBC">
        <w:rPr>
          <w:rFonts w:eastAsia="Times New Roman"/>
        </w:rPr>
        <w:t>Authority</w:t>
      </w:r>
      <w:r w:rsidR="008604D6" w:rsidRPr="008604D6">
        <w:rPr>
          <w:rFonts w:eastAsia="Times New Roman"/>
        </w:rPr>
        <w:t>’</w:t>
      </w:r>
      <w:r w:rsidRPr="00C34DBC">
        <w:rPr>
          <w:rFonts w:eastAsia="Times New Roman"/>
        </w:rPr>
        <w:t xml:space="preserve"> or </w:t>
      </w:r>
      <w:r w:rsidR="008604D6" w:rsidRPr="008604D6">
        <w:rPr>
          <w:rFonts w:eastAsia="Times New Roman"/>
        </w:rPr>
        <w:t>‘</w:t>
      </w:r>
      <w:r w:rsidRPr="00C34DBC">
        <w:rPr>
          <w:rFonts w:eastAsia="Times New Roman"/>
        </w:rPr>
        <w:t>Housing Authority</w:t>
      </w:r>
      <w:r w:rsidR="008604D6" w:rsidRPr="008604D6">
        <w:rPr>
          <w:rFonts w:eastAsia="Times New Roman"/>
        </w:rPr>
        <w:t>’</w:t>
      </w:r>
      <w:r w:rsidRPr="00C34DBC">
        <w:rPr>
          <w:rFonts w:eastAsia="Times New Roman"/>
        </w:rPr>
        <w:t xml:space="preserve"> as used in the provisions includes the South Carolina State Housing Finance and Development Authority unless a different meaning clearly appears from the context.</w:t>
      </w:r>
      <w:r w:rsidR="00A36D24">
        <w:rPr>
          <w:rFonts w:eastAsia="Times New Roman"/>
        </w:rPr>
        <w:t>”</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31 of the 1976 Code is amended by adding:</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A36D24"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100.</w:t>
      </w:r>
      <w:r>
        <w:rPr>
          <w:rFonts w:eastAsia="Times New Roman"/>
        </w:rPr>
        <w:tab/>
      </w:r>
      <w:r w:rsidR="00E129D0">
        <w:rPr>
          <w:rFonts w:eastAsia="Times New Roman"/>
        </w:rPr>
        <w:t xml:space="preserve">There is hereby created the South Carolina State Housing Finance and Development Authority Qualified </w:t>
      </w:r>
      <w:r>
        <w:rPr>
          <w:rFonts w:eastAsia="Times New Roman"/>
        </w:rPr>
        <w:t>Allocation Plan Advisory Panel.</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110.</w:t>
      </w:r>
      <w:r>
        <w:rPr>
          <w:rFonts w:eastAsia="Times New Roman"/>
        </w:rPr>
        <w:tab/>
        <w:t>The Governor shall appoint five persons to the Panel. The five persons so appointed shall have experience in the fields of development finance, banking, real estate, home building, and low income housing advocacy.</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2A"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120.</w:t>
      </w:r>
      <w:r>
        <w:rPr>
          <w:rFonts w:eastAsia="Times New Roman"/>
        </w:rPr>
        <w:tab/>
        <w:t>The Panel shall review the Qualified Allocation Plan developed by the Authority annually and make recommendations to the Authority as needed.”</w:t>
      </w:r>
    </w:p>
    <w:p w:rsidR="00842E2A"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2A" w:rsidRPr="00522CE0"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29D0">
        <w:rPr>
          <w:rFonts w:eastAsia="Times New Roman"/>
        </w:rPr>
        <w:t>3</w:t>
      </w:r>
      <w:r>
        <w:rPr>
          <w:rFonts w:eastAsia="Times New Roman"/>
        </w:rPr>
        <w:t>.</w:t>
      </w:r>
      <w:r>
        <w:rPr>
          <w:rFonts w:eastAsia="Times New Roman"/>
        </w:rPr>
        <w:tab/>
        <w:t>This act takes effect upon approval by the Governor.</w:t>
      </w:r>
    </w:p>
    <w:p w:rsidR="009B0E93" w:rsidRDefault="008604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416E" w:rsidRDefault="002B416E" w:rsidP="002B416E">
      <w:pPr>
        <w:suppressAutoHyphens/>
        <w:jc w:val="both"/>
        <w:rPr>
          <w:rFonts w:eastAsia="Times New Roman"/>
        </w:rPr>
      </w:pPr>
    </w:p>
    <w:sectPr w:rsidR="002B416E" w:rsidSect="002B41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A45" w:rsidRDefault="00073A45" w:rsidP="00522CE0">
      <w:r>
        <w:separator/>
      </w:r>
    </w:p>
  </w:endnote>
  <w:endnote w:type="continuationSeparator" w:id="0">
    <w:p w:rsidR="00073A45" w:rsidRDefault="00073A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58777-E927-40BA-9E12-87DB0402F463}"/>
    <w:embedBold r:id="rId2" w:fontKey="{472E7916-264E-4685-BDBD-B3FA1A9BAB0D}"/>
  </w:font>
  <w:font w:name="Calibri">
    <w:panose1 w:val="020F0502020204030204"/>
    <w:charset w:val="00"/>
    <w:family w:val="swiss"/>
    <w:pitch w:val="variable"/>
    <w:sig w:usb0="E00002FF" w:usb1="4000ACFF" w:usb2="00000001" w:usb3="00000000" w:csb0="0000019F" w:csb1="00000000"/>
    <w:embedRegular r:id="rId3" w:fontKey="{6686BCC5-1BBC-4620-A020-4D17A1D37F97}"/>
    <w:embedBold r:id="rId4" w:fontKey="{70C9DD41-4D97-4B5F-8699-C1C6763B4CB9}"/>
  </w:font>
  <w:font w:name="Cambria">
    <w:panose1 w:val="02040503050406030204"/>
    <w:charset w:val="00"/>
    <w:family w:val="roman"/>
    <w:pitch w:val="variable"/>
    <w:sig w:usb0="E00002FF" w:usb1="400004FF" w:usb2="00000000" w:usb3="00000000" w:csb0="0000019F" w:csb1="00000000"/>
    <w:embedRegular r:id="rId5" w:fontKey="{A97229BC-7030-476D-A0AE-19254E697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16E" w:rsidRPr="00783A45" w:rsidRDefault="002B416E" w:rsidP="00783A45">
    <w:pPr>
      <w:pStyle w:val="Footer"/>
      <w:tabs>
        <w:tab w:val="clear" w:pos="4680"/>
        <w:tab w:val="clear" w:pos="9360"/>
        <w:tab w:val="center" w:pos="2995"/>
      </w:tabs>
      <w:spacing w:before="120"/>
    </w:pPr>
    <w:r>
      <w:t>[1183]</w:t>
    </w:r>
    <w:r>
      <w:tab/>
    </w:r>
    <w:r>
      <w:fldChar w:fldCharType="begin"/>
    </w:r>
    <w:r>
      <w:instrText xml:space="preserve"> PAGE  \* MERGEFORMAT </w:instrText>
    </w:r>
    <w:r>
      <w:fldChar w:fldCharType="separate"/>
    </w:r>
    <w:r w:rsidR="008E20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A45" w:rsidRDefault="00073A45" w:rsidP="00522CE0">
      <w:r>
        <w:separator/>
      </w:r>
    </w:p>
  </w:footnote>
  <w:footnote w:type="continuationSeparator" w:id="0">
    <w:p w:rsidR="00073A45" w:rsidRDefault="00073A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LIHT.KMM.TD"/>
    <w:docVar w:name="CoverAttorneyInitials" w:val="KMM"/>
    <w:docVar w:name="CoverAttorneyLastName" w:val="Moffitt"/>
    <w:docVar w:name="CoverBillType" w:val="b"/>
    <w:docVar w:name="CoverSenator" w:val="TD"/>
    <w:docVar w:name="dvBillNumber" w:val="1183"/>
    <w:docVar w:name="dvBillNumberPrefix" w:val="S. "/>
    <w:docVar w:name="dvOriginalBody" w:val="Senate"/>
    <w:docVar w:name="fulldraftpath" w:val="L:\S-RES\TD\014LIHT.KMM.TD.DOCX"/>
    <w:docVar w:name="NameofBody" w:val="S"/>
    <w:docVar w:name="vgroup2" w:val="S-RES"/>
  </w:docVars>
  <w:rsids>
    <w:rsidRoot w:val="00842E2A"/>
    <w:rsid w:val="000070DA"/>
    <w:rsid w:val="00042AC1"/>
    <w:rsid w:val="00046516"/>
    <w:rsid w:val="00073A45"/>
    <w:rsid w:val="0007601D"/>
    <w:rsid w:val="000B0720"/>
    <w:rsid w:val="000B5EAF"/>
    <w:rsid w:val="001315B2"/>
    <w:rsid w:val="00170561"/>
    <w:rsid w:val="00186AC9"/>
    <w:rsid w:val="0019506B"/>
    <w:rsid w:val="00197DF1"/>
    <w:rsid w:val="001B3DD9"/>
    <w:rsid w:val="001B7E5D"/>
    <w:rsid w:val="001C7B58"/>
    <w:rsid w:val="001D3BAC"/>
    <w:rsid w:val="00216025"/>
    <w:rsid w:val="00245C4E"/>
    <w:rsid w:val="002B416E"/>
    <w:rsid w:val="002C1321"/>
    <w:rsid w:val="002C2031"/>
    <w:rsid w:val="002C5896"/>
    <w:rsid w:val="002D3BED"/>
    <w:rsid w:val="00307C2B"/>
    <w:rsid w:val="00341DB0"/>
    <w:rsid w:val="00383247"/>
    <w:rsid w:val="003B2E55"/>
    <w:rsid w:val="003D6E2B"/>
    <w:rsid w:val="003E7597"/>
    <w:rsid w:val="0044020F"/>
    <w:rsid w:val="00450668"/>
    <w:rsid w:val="004813A2"/>
    <w:rsid w:val="004952FA"/>
    <w:rsid w:val="004B6A22"/>
    <w:rsid w:val="004D7F37"/>
    <w:rsid w:val="00522CE0"/>
    <w:rsid w:val="00565148"/>
    <w:rsid w:val="00570403"/>
    <w:rsid w:val="00574E08"/>
    <w:rsid w:val="00593361"/>
    <w:rsid w:val="005A413B"/>
    <w:rsid w:val="005A5017"/>
    <w:rsid w:val="005A648C"/>
    <w:rsid w:val="005F1745"/>
    <w:rsid w:val="006071A4"/>
    <w:rsid w:val="00621B5B"/>
    <w:rsid w:val="006837B8"/>
    <w:rsid w:val="006A1802"/>
    <w:rsid w:val="006C74EA"/>
    <w:rsid w:val="00700B01"/>
    <w:rsid w:val="00720D40"/>
    <w:rsid w:val="00725FE5"/>
    <w:rsid w:val="007318D4"/>
    <w:rsid w:val="007432A8"/>
    <w:rsid w:val="00765784"/>
    <w:rsid w:val="00783A45"/>
    <w:rsid w:val="007A4390"/>
    <w:rsid w:val="007B1049"/>
    <w:rsid w:val="007C4C87"/>
    <w:rsid w:val="007E5CB7"/>
    <w:rsid w:val="008314D2"/>
    <w:rsid w:val="00842E2A"/>
    <w:rsid w:val="008604D6"/>
    <w:rsid w:val="008B2F42"/>
    <w:rsid w:val="008C3697"/>
    <w:rsid w:val="008E185F"/>
    <w:rsid w:val="008E20E2"/>
    <w:rsid w:val="008F023B"/>
    <w:rsid w:val="008F7258"/>
    <w:rsid w:val="00904E16"/>
    <w:rsid w:val="009162B3"/>
    <w:rsid w:val="00927C62"/>
    <w:rsid w:val="00983951"/>
    <w:rsid w:val="00984124"/>
    <w:rsid w:val="00984640"/>
    <w:rsid w:val="00995C37"/>
    <w:rsid w:val="009B0E93"/>
    <w:rsid w:val="009C118A"/>
    <w:rsid w:val="009F515A"/>
    <w:rsid w:val="00A02011"/>
    <w:rsid w:val="00A36D24"/>
    <w:rsid w:val="00A4011E"/>
    <w:rsid w:val="00A86015"/>
    <w:rsid w:val="00A9594E"/>
    <w:rsid w:val="00AE59C8"/>
    <w:rsid w:val="00B10098"/>
    <w:rsid w:val="00B53675"/>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96689"/>
    <w:rsid w:val="00DA47B9"/>
    <w:rsid w:val="00DE5635"/>
    <w:rsid w:val="00E058D3"/>
    <w:rsid w:val="00E129D0"/>
    <w:rsid w:val="00E76AD9"/>
    <w:rsid w:val="00E87161"/>
    <w:rsid w:val="00E91E2F"/>
    <w:rsid w:val="00EA3546"/>
    <w:rsid w:val="00EB47AE"/>
    <w:rsid w:val="00EC34E1"/>
    <w:rsid w:val="00F0234A"/>
    <w:rsid w:val="00F05CF2"/>
    <w:rsid w:val="00F4488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6B7E72F-3589-4ADC-AFBD-6A4018FA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B41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83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8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F6FC4-9D7E-48F9-8BA8-7B445701C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965</Words>
  <Characters>5503</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1183: State Housing Finance and Development Authority - South Carolina Legislature Online</dc:title>
  <dc:subject/>
  <dc:creator>%USERNAME%</dc:creator>
  <cp:keywords/>
  <dc:description/>
  <cp:lastModifiedBy>N Cumfer</cp:lastModifiedBy>
  <cp:revision>2</cp:revision>
  <dcterms:created xsi:type="dcterms:W3CDTF">2016-12-02T17:31:00Z</dcterms:created>
  <dcterms:modified xsi:type="dcterms:W3CDTF">2016-12-02T17:31:00Z</dcterms:modified>
</cp:coreProperties>
</file>