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D96" w:rsidRDefault="005B1D96" w:rsidP="005B1D96">
      <w:pPr>
        <w:widowControl w:val="0"/>
        <w:jc w:val="center"/>
      </w:pPr>
      <w:bookmarkStart w:id="0" w:name="_GoBack"/>
      <w:bookmarkEnd w:id="0"/>
      <w:r w:rsidRPr="005B1D96">
        <w:rPr>
          <w:b/>
        </w:rPr>
        <w:t>South Carolina General Assembly</w:t>
      </w:r>
    </w:p>
    <w:p w:rsidR="005B1D96" w:rsidRDefault="005B1D96" w:rsidP="005B1D96">
      <w:pPr>
        <w:widowControl w:val="0"/>
        <w:jc w:val="center"/>
      </w:pPr>
      <w:r>
        <w:t>121st Session, 2015-2016</w:t>
      </w:r>
    </w:p>
    <w:p w:rsidR="005B1D96" w:rsidRDefault="005B1D96" w:rsidP="005B1D96">
      <w:pPr>
        <w:widowControl w:val="0"/>
      </w:pPr>
    </w:p>
    <w:p w:rsidR="005B1D96" w:rsidRDefault="005B1D96" w:rsidP="005B1D96">
      <w:pPr>
        <w:widowControl w:val="0"/>
        <w:rPr>
          <w:b/>
        </w:rPr>
      </w:pPr>
      <w:r w:rsidRPr="005B1D96">
        <w:rPr>
          <w:b/>
        </w:rPr>
        <w:t>S.</w:t>
      </w:r>
      <w:r>
        <w:rPr>
          <w:b/>
        </w:rPr>
        <w:t xml:space="preserve"> </w:t>
      </w:r>
      <w:r w:rsidRPr="005B1D96">
        <w:rPr>
          <w:b/>
        </w:rPr>
        <w:t>199</w:t>
      </w:r>
    </w:p>
    <w:p w:rsidR="005B1D96" w:rsidRDefault="005B1D96" w:rsidP="005B1D96">
      <w:pPr>
        <w:widowControl w:val="0"/>
        <w:rPr>
          <w:b/>
        </w:rPr>
      </w:pPr>
    </w:p>
    <w:p w:rsidR="005B1D96" w:rsidRDefault="005B1D96" w:rsidP="005B1D96">
      <w:pPr>
        <w:widowControl w:val="0"/>
      </w:pPr>
      <w:r w:rsidRPr="005B1D96">
        <w:rPr>
          <w:b/>
        </w:rPr>
        <w:t>STATUS INFORMATION</w:t>
      </w:r>
    </w:p>
    <w:p w:rsidR="005B1D96" w:rsidRDefault="005B1D96" w:rsidP="005B1D96">
      <w:pPr>
        <w:widowControl w:val="0"/>
      </w:pPr>
    </w:p>
    <w:p w:rsidR="005B1D96" w:rsidRDefault="005B1D96" w:rsidP="005B1D96">
      <w:pPr>
        <w:widowControl w:val="0"/>
      </w:pPr>
      <w:r>
        <w:t>General Bill</w:t>
      </w:r>
    </w:p>
    <w:p w:rsidR="005B1D96" w:rsidRDefault="00637162" w:rsidP="005B1D96">
      <w:pPr>
        <w:widowControl w:val="0"/>
      </w:pPr>
      <w:r>
        <w:t>Sponsors: Senators Grooms, Hembree, Bennett, Campbell, Verdin, Campsen, Gregory, Johnson, Setzler, Sabb, Nicholson and Scott</w:t>
      </w:r>
    </w:p>
    <w:p w:rsidR="005B1D96" w:rsidRDefault="005B1D96" w:rsidP="005B1D96">
      <w:pPr>
        <w:widowControl w:val="0"/>
      </w:pPr>
      <w:r>
        <w:t>Document Path: l:\s-res\lkg\012work.ls.lkg.docx</w:t>
      </w:r>
    </w:p>
    <w:p w:rsidR="005B1D96" w:rsidRDefault="005B1D96" w:rsidP="005B1D96">
      <w:pPr>
        <w:widowControl w:val="0"/>
      </w:pPr>
    </w:p>
    <w:p w:rsidR="00DF53D2" w:rsidRDefault="00DF53D2" w:rsidP="005B1D96">
      <w:pPr>
        <w:widowControl w:val="0"/>
      </w:pPr>
      <w:r>
        <w:t>Introduced in the Senate on January 13, 2015</w:t>
      </w:r>
    </w:p>
    <w:p w:rsidR="00DF53D2" w:rsidRDefault="00DF53D2" w:rsidP="005B1D96">
      <w:pPr>
        <w:widowControl w:val="0"/>
      </w:pPr>
      <w:r>
        <w:t>Introduced in the House on May 5, 2015</w:t>
      </w:r>
    </w:p>
    <w:p w:rsidR="00DF53D2" w:rsidRDefault="00DF53D2" w:rsidP="005B1D96">
      <w:pPr>
        <w:widowControl w:val="0"/>
      </w:pPr>
      <w:r>
        <w:t>Last Amended on May 26, 2015</w:t>
      </w:r>
    </w:p>
    <w:p w:rsidR="00DF53D2" w:rsidRDefault="00DF53D2" w:rsidP="005B1D96">
      <w:pPr>
        <w:widowControl w:val="0"/>
      </w:pPr>
      <w:r>
        <w:t>Currently residing in the Senate</w:t>
      </w:r>
    </w:p>
    <w:p w:rsidR="00DF53D2" w:rsidRDefault="00DF53D2" w:rsidP="005B1D96">
      <w:pPr>
        <w:widowControl w:val="0"/>
      </w:pPr>
    </w:p>
    <w:p w:rsidR="005B1D96" w:rsidRDefault="005B1D96" w:rsidP="005B1D96">
      <w:pPr>
        <w:widowControl w:val="0"/>
      </w:pPr>
      <w:r>
        <w:t xml:space="preserve">Summary: </w:t>
      </w:r>
      <w:r w:rsidR="00581022">
        <w:t>Peanut's Law</w:t>
      </w:r>
    </w:p>
    <w:p w:rsidR="005B1D96" w:rsidRDefault="005B1D96" w:rsidP="005B1D96">
      <w:pPr>
        <w:widowControl w:val="0"/>
      </w:pPr>
    </w:p>
    <w:p w:rsidR="005B1D96" w:rsidRDefault="005B1D96" w:rsidP="005B1D96">
      <w:pPr>
        <w:widowControl w:val="0"/>
      </w:pPr>
    </w:p>
    <w:p w:rsidR="005B1D96" w:rsidRDefault="005B1D96" w:rsidP="005B1D96">
      <w:pPr>
        <w:widowControl w:val="0"/>
        <w:tabs>
          <w:tab w:val="center" w:pos="590"/>
          <w:tab w:val="center" w:pos="1440"/>
          <w:tab w:val="left" w:pos="1872"/>
          <w:tab w:val="left" w:pos="9187"/>
        </w:tabs>
      </w:pPr>
      <w:r w:rsidRPr="005B1D96">
        <w:rPr>
          <w:b/>
        </w:rPr>
        <w:t>HISTORY OF LEGISLATIVE ACTIONS</w:t>
      </w:r>
    </w:p>
    <w:p w:rsidR="005B1D96" w:rsidRDefault="005B1D96" w:rsidP="005B1D96">
      <w:pPr>
        <w:widowControl w:val="0"/>
        <w:tabs>
          <w:tab w:val="center" w:pos="590"/>
          <w:tab w:val="center" w:pos="1440"/>
          <w:tab w:val="left" w:pos="1872"/>
          <w:tab w:val="left" w:pos="9187"/>
        </w:tabs>
      </w:pPr>
    </w:p>
    <w:p w:rsidR="005B1D96" w:rsidRPr="005B1D96" w:rsidRDefault="005B1D96" w:rsidP="005B1D96">
      <w:pPr>
        <w:widowControl w:val="0"/>
        <w:tabs>
          <w:tab w:val="center" w:pos="590"/>
          <w:tab w:val="center" w:pos="1440"/>
          <w:tab w:val="left" w:pos="1872"/>
          <w:tab w:val="left" w:pos="9187"/>
        </w:tabs>
      </w:pPr>
      <w:r w:rsidRPr="005B1D96">
        <w:rPr>
          <w:u w:val="single"/>
        </w:rPr>
        <w:tab/>
        <w:t>Date</w:t>
      </w:r>
      <w:r w:rsidRPr="005B1D96">
        <w:rPr>
          <w:u w:val="single"/>
        </w:rPr>
        <w:tab/>
        <w:t>Body</w:t>
      </w:r>
      <w:r w:rsidRPr="005B1D96">
        <w:rPr>
          <w:u w:val="single"/>
        </w:rPr>
        <w:tab/>
        <w:t>Action Description with journal page number</w:t>
      </w:r>
      <w:r w:rsidRPr="005B1D96">
        <w:rPr>
          <w:u w:val="single"/>
        </w:rPr>
        <w:tab/>
      </w:r>
    </w:p>
    <w:p w:rsidR="004B14D7" w:rsidRDefault="004B14D7" w:rsidP="004B14D7">
      <w:pPr>
        <w:widowControl w:val="0"/>
        <w:tabs>
          <w:tab w:val="right" w:pos="1008"/>
          <w:tab w:val="left" w:pos="1152"/>
          <w:tab w:val="left" w:pos="1872"/>
          <w:tab w:val="left" w:pos="9187"/>
        </w:tabs>
        <w:ind w:left="2088" w:hanging="2088"/>
      </w:pPr>
      <w:r>
        <w:tab/>
        <w:t>12/10/2014</w:t>
      </w:r>
      <w:r>
        <w:tab/>
        <w:t>Senate</w:t>
      </w:r>
      <w:r>
        <w:tab/>
      </w:r>
      <w:r w:rsidRPr="007F4459">
        <w:t>Prefiled</w:t>
      </w:r>
    </w:p>
    <w:p w:rsidR="004B14D7" w:rsidRDefault="004B14D7" w:rsidP="004B14D7">
      <w:pPr>
        <w:widowControl w:val="0"/>
        <w:tabs>
          <w:tab w:val="right" w:pos="1008"/>
          <w:tab w:val="left" w:pos="1152"/>
          <w:tab w:val="left" w:pos="1872"/>
          <w:tab w:val="left" w:pos="9187"/>
        </w:tabs>
        <w:ind w:left="2088" w:hanging="2088"/>
      </w:pPr>
      <w:r>
        <w:tab/>
        <w:t>12/10/2014</w:t>
      </w:r>
      <w:r>
        <w:tab/>
        <w:t>Senate</w:t>
      </w:r>
      <w:r>
        <w:tab/>
      </w:r>
      <w:r w:rsidRPr="007F4459">
        <w:t xml:space="preserve">Referred to Committee on </w:t>
      </w:r>
      <w:r w:rsidRPr="007F4459">
        <w:rPr>
          <w:b/>
        </w:rPr>
        <w:t>Transportation</w:t>
      </w:r>
    </w:p>
    <w:p w:rsidR="004B14D7" w:rsidRDefault="004B14D7" w:rsidP="004B14D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7F4459">
        <w:t>(</w:t>
      </w:r>
      <w:hyperlink r:id="rId6" w:history="1">
        <w:r w:rsidRPr="00B47CF0">
          <w:rPr>
            <w:rStyle w:val="Hyperlink"/>
          </w:rPr>
          <w:t>Senate Journal</w:t>
        </w:r>
        <w:r w:rsidRPr="00B47CF0">
          <w:rPr>
            <w:rStyle w:val="Hyperlink"/>
          </w:rPr>
          <w:noBreakHyphen/>
          <w:t>page 127</w:t>
        </w:r>
      </w:hyperlink>
      <w:r w:rsidRPr="007F4459">
        <w:t>)</w:t>
      </w:r>
    </w:p>
    <w:p w:rsidR="004B14D7" w:rsidRDefault="004B14D7" w:rsidP="004B14D7">
      <w:pPr>
        <w:widowControl w:val="0"/>
        <w:tabs>
          <w:tab w:val="right" w:pos="1008"/>
          <w:tab w:val="left" w:pos="1152"/>
          <w:tab w:val="left" w:pos="1872"/>
          <w:tab w:val="left" w:pos="9187"/>
        </w:tabs>
        <w:ind w:left="2088" w:hanging="2088"/>
      </w:pPr>
      <w:r>
        <w:tab/>
        <w:t>1/13/2015</w:t>
      </w:r>
      <w:r>
        <w:tab/>
        <w:t>Senate</w:t>
      </w:r>
      <w:r>
        <w:tab/>
      </w:r>
      <w:r w:rsidRPr="007F4459">
        <w:t>Referred</w:t>
      </w:r>
      <w:r>
        <w:t xml:space="preserve"> to Committee on </w:t>
      </w:r>
      <w:r w:rsidRPr="007F4459">
        <w:rPr>
          <w:b/>
        </w:rPr>
        <w:t>Transportation</w:t>
      </w:r>
      <w:r>
        <w:t xml:space="preserve"> </w:t>
      </w:r>
      <w:r w:rsidRPr="007F4459">
        <w:t>(</w:t>
      </w:r>
      <w:hyperlink r:id="rId7" w:history="1">
        <w:r w:rsidRPr="00B47CF0">
          <w:rPr>
            <w:rStyle w:val="Hyperlink"/>
          </w:rPr>
          <w:t>Senate Journal</w:t>
        </w:r>
        <w:r w:rsidRPr="00B47CF0">
          <w:rPr>
            <w:rStyle w:val="Hyperlink"/>
          </w:rPr>
          <w:noBreakHyphen/>
          <w:t>page 127</w:t>
        </w:r>
      </w:hyperlink>
      <w:r w:rsidRPr="007F4459">
        <w:t>)</w:t>
      </w:r>
    </w:p>
    <w:p w:rsidR="004B14D7" w:rsidRDefault="004B14D7" w:rsidP="004B14D7">
      <w:pPr>
        <w:widowControl w:val="0"/>
        <w:tabs>
          <w:tab w:val="right" w:pos="1008"/>
          <w:tab w:val="left" w:pos="1152"/>
          <w:tab w:val="left" w:pos="1872"/>
          <w:tab w:val="left" w:pos="9187"/>
        </w:tabs>
        <w:ind w:left="2088" w:hanging="2088"/>
      </w:pPr>
      <w:r>
        <w:tab/>
        <w:t>3/4/2015</w:t>
      </w:r>
      <w:r>
        <w:tab/>
        <w:t>Senate</w:t>
      </w:r>
      <w:r>
        <w:tab/>
      </w:r>
      <w:r w:rsidRPr="007F4459">
        <w:t>Committee r</w:t>
      </w:r>
      <w:r>
        <w:t xml:space="preserve">eport: Favorable </w:t>
      </w:r>
      <w:r w:rsidRPr="007F4459">
        <w:rPr>
          <w:b/>
        </w:rPr>
        <w:t>Transportation</w:t>
      </w:r>
      <w:r>
        <w:t xml:space="preserve"> </w:t>
      </w:r>
      <w:r w:rsidRPr="007F4459">
        <w:t>(</w:t>
      </w:r>
      <w:hyperlink r:id="rId8" w:history="1">
        <w:r w:rsidRPr="00B47CF0">
          <w:rPr>
            <w:rStyle w:val="Hyperlink"/>
          </w:rPr>
          <w:t>Senate Journal</w:t>
        </w:r>
        <w:r w:rsidRPr="00B47CF0">
          <w:rPr>
            <w:rStyle w:val="Hyperlink"/>
          </w:rPr>
          <w:noBreakHyphen/>
          <w:t>page 12</w:t>
        </w:r>
      </w:hyperlink>
      <w:r w:rsidRPr="007F4459">
        <w:t>)</w:t>
      </w:r>
    </w:p>
    <w:p w:rsidR="004B14D7" w:rsidRDefault="004B14D7" w:rsidP="004B14D7">
      <w:pPr>
        <w:widowControl w:val="0"/>
        <w:tabs>
          <w:tab w:val="right" w:pos="1008"/>
          <w:tab w:val="left" w:pos="1152"/>
          <w:tab w:val="left" w:pos="1872"/>
          <w:tab w:val="left" w:pos="9187"/>
        </w:tabs>
        <w:ind w:left="2088" w:hanging="2088"/>
      </w:pPr>
      <w:r>
        <w:tab/>
        <w:t>3/5/2015</w:t>
      </w:r>
      <w:r>
        <w:tab/>
      </w:r>
      <w:r>
        <w:tab/>
      </w:r>
      <w:r w:rsidRPr="007F4459">
        <w:t>Scrivener's error corrected</w:t>
      </w:r>
    </w:p>
    <w:p w:rsidR="004B14D7" w:rsidRDefault="004B14D7" w:rsidP="004B14D7">
      <w:pPr>
        <w:widowControl w:val="0"/>
        <w:tabs>
          <w:tab w:val="right" w:pos="1008"/>
          <w:tab w:val="left" w:pos="1152"/>
          <w:tab w:val="left" w:pos="1872"/>
          <w:tab w:val="left" w:pos="9187"/>
        </w:tabs>
        <w:ind w:left="2088" w:hanging="2088"/>
      </w:pPr>
      <w:r>
        <w:tab/>
        <w:t>3/17/2015</w:t>
      </w:r>
      <w:r>
        <w:tab/>
        <w:t>Senate</w:t>
      </w:r>
      <w:r>
        <w:tab/>
      </w:r>
      <w:r w:rsidRPr="007F4459">
        <w:t>Amended (</w:t>
      </w:r>
      <w:hyperlink r:id="rId9" w:history="1">
        <w:r w:rsidRPr="00B47CF0">
          <w:rPr>
            <w:rStyle w:val="Hyperlink"/>
          </w:rPr>
          <w:t>Senate Journal</w:t>
        </w:r>
        <w:r w:rsidRPr="00B47CF0">
          <w:rPr>
            <w:rStyle w:val="Hyperlink"/>
          </w:rPr>
          <w:noBreakHyphen/>
          <w:t>page 26</w:t>
        </w:r>
      </w:hyperlink>
      <w:r w:rsidRPr="007F4459">
        <w:t>)</w:t>
      </w:r>
    </w:p>
    <w:p w:rsidR="004B14D7" w:rsidRDefault="004B14D7" w:rsidP="004B14D7">
      <w:pPr>
        <w:widowControl w:val="0"/>
        <w:tabs>
          <w:tab w:val="right" w:pos="1008"/>
          <w:tab w:val="left" w:pos="1152"/>
          <w:tab w:val="left" w:pos="1872"/>
          <w:tab w:val="left" w:pos="9187"/>
        </w:tabs>
        <w:ind w:left="2088" w:hanging="2088"/>
      </w:pPr>
      <w:r>
        <w:tab/>
        <w:t>3/18/2015</w:t>
      </w:r>
      <w:r>
        <w:tab/>
      </w:r>
      <w:r>
        <w:tab/>
      </w:r>
      <w:r w:rsidRPr="007F4459">
        <w:t>Scrivener's error corrected</w:t>
      </w:r>
    </w:p>
    <w:p w:rsidR="004B14D7" w:rsidRDefault="004B14D7" w:rsidP="004B14D7">
      <w:pPr>
        <w:widowControl w:val="0"/>
        <w:tabs>
          <w:tab w:val="right" w:pos="1008"/>
          <w:tab w:val="left" w:pos="1152"/>
          <w:tab w:val="left" w:pos="1872"/>
          <w:tab w:val="left" w:pos="9187"/>
        </w:tabs>
        <w:ind w:left="2088" w:hanging="2088"/>
      </w:pPr>
      <w:r>
        <w:tab/>
        <w:t>4/29/2015</w:t>
      </w:r>
      <w:r>
        <w:tab/>
        <w:t>Senate</w:t>
      </w:r>
      <w:r>
        <w:tab/>
      </w:r>
      <w:r w:rsidRPr="007F4459">
        <w:t>Amended (</w:t>
      </w:r>
      <w:hyperlink r:id="rId10" w:history="1">
        <w:r w:rsidRPr="00B47CF0">
          <w:rPr>
            <w:rStyle w:val="Hyperlink"/>
          </w:rPr>
          <w:t>Senate Journal</w:t>
        </w:r>
        <w:r w:rsidRPr="00B47CF0">
          <w:rPr>
            <w:rStyle w:val="Hyperlink"/>
          </w:rPr>
          <w:noBreakHyphen/>
          <w:t>page 45</w:t>
        </w:r>
      </w:hyperlink>
      <w:r w:rsidRPr="007F4459">
        <w:t>)</w:t>
      </w:r>
    </w:p>
    <w:p w:rsidR="004B14D7" w:rsidRDefault="004B14D7" w:rsidP="004B14D7">
      <w:pPr>
        <w:widowControl w:val="0"/>
        <w:tabs>
          <w:tab w:val="right" w:pos="1008"/>
          <w:tab w:val="left" w:pos="1152"/>
          <w:tab w:val="left" w:pos="1872"/>
          <w:tab w:val="left" w:pos="9187"/>
        </w:tabs>
        <w:ind w:left="2088" w:hanging="2088"/>
      </w:pPr>
      <w:r>
        <w:tab/>
        <w:t>4/29/2015</w:t>
      </w:r>
      <w:r>
        <w:tab/>
        <w:t>Senate</w:t>
      </w:r>
      <w:r>
        <w:tab/>
      </w:r>
      <w:r w:rsidRPr="007F4459">
        <w:t>Read second time (</w:t>
      </w:r>
      <w:hyperlink r:id="rId11" w:history="1">
        <w:r w:rsidRPr="00B47CF0">
          <w:rPr>
            <w:rStyle w:val="Hyperlink"/>
          </w:rPr>
          <w:t>Senate Journal</w:t>
        </w:r>
        <w:r w:rsidRPr="00B47CF0">
          <w:rPr>
            <w:rStyle w:val="Hyperlink"/>
          </w:rPr>
          <w:noBreakHyphen/>
          <w:t>page 45</w:t>
        </w:r>
      </w:hyperlink>
      <w:r w:rsidRPr="007F4459">
        <w:t>)</w:t>
      </w:r>
    </w:p>
    <w:p w:rsidR="004B14D7" w:rsidRDefault="004B14D7" w:rsidP="004B14D7">
      <w:pPr>
        <w:widowControl w:val="0"/>
        <w:tabs>
          <w:tab w:val="right" w:pos="1008"/>
          <w:tab w:val="left" w:pos="1152"/>
          <w:tab w:val="left" w:pos="1872"/>
          <w:tab w:val="left" w:pos="9187"/>
        </w:tabs>
        <w:ind w:left="2088" w:hanging="2088"/>
      </w:pPr>
      <w:r>
        <w:tab/>
        <w:t>4/29/2015</w:t>
      </w:r>
      <w:r>
        <w:tab/>
        <w:t>Senate</w:t>
      </w:r>
      <w:r>
        <w:tab/>
      </w:r>
      <w:r w:rsidRPr="007F4459">
        <w:t>Roll call Ayes</w:t>
      </w:r>
      <w:r>
        <w:noBreakHyphen/>
      </w:r>
      <w:r w:rsidRPr="007F4459">
        <w:t>43  Nays</w:t>
      </w:r>
      <w:r>
        <w:noBreakHyphen/>
      </w:r>
      <w:r w:rsidRPr="007F4459">
        <w:t>3 (</w:t>
      </w:r>
      <w:hyperlink r:id="rId12" w:history="1">
        <w:r w:rsidRPr="00B47CF0">
          <w:rPr>
            <w:rStyle w:val="Hyperlink"/>
          </w:rPr>
          <w:t>Senate Journal</w:t>
        </w:r>
        <w:r w:rsidRPr="00B47CF0">
          <w:rPr>
            <w:rStyle w:val="Hyperlink"/>
          </w:rPr>
          <w:noBreakHyphen/>
          <w:t>page 45</w:t>
        </w:r>
      </w:hyperlink>
      <w:r w:rsidRPr="007F4459">
        <w:t>)</w:t>
      </w:r>
    </w:p>
    <w:p w:rsidR="004B14D7" w:rsidRDefault="004B14D7" w:rsidP="004B14D7">
      <w:pPr>
        <w:widowControl w:val="0"/>
        <w:tabs>
          <w:tab w:val="right" w:pos="1008"/>
          <w:tab w:val="left" w:pos="1152"/>
          <w:tab w:val="left" w:pos="1872"/>
          <w:tab w:val="left" w:pos="9187"/>
        </w:tabs>
        <w:ind w:left="2088" w:hanging="2088"/>
      </w:pPr>
      <w:r>
        <w:tab/>
        <w:t>4/30/2015</w:t>
      </w:r>
      <w:r>
        <w:tab/>
        <w:t>Senate</w:t>
      </w:r>
      <w:r>
        <w:tab/>
      </w:r>
      <w:r w:rsidRPr="007F4459">
        <w:t>Re</w:t>
      </w:r>
      <w:r>
        <w:t xml:space="preserve">ad third time and sent to House </w:t>
      </w:r>
      <w:r w:rsidRPr="007F4459">
        <w:t>(</w:t>
      </w:r>
      <w:hyperlink r:id="rId13" w:history="1">
        <w:r w:rsidRPr="00B47CF0">
          <w:rPr>
            <w:rStyle w:val="Hyperlink"/>
          </w:rPr>
          <w:t>Senate Journal</w:t>
        </w:r>
        <w:r w:rsidRPr="00B47CF0">
          <w:rPr>
            <w:rStyle w:val="Hyperlink"/>
          </w:rPr>
          <w:noBreakHyphen/>
          <w:t>page 7</w:t>
        </w:r>
      </w:hyperlink>
      <w:r w:rsidRPr="007F4459">
        <w:t>)</w:t>
      </w:r>
    </w:p>
    <w:p w:rsidR="004B14D7" w:rsidRDefault="004B14D7" w:rsidP="004B14D7">
      <w:pPr>
        <w:widowControl w:val="0"/>
        <w:tabs>
          <w:tab w:val="right" w:pos="1008"/>
          <w:tab w:val="left" w:pos="1152"/>
          <w:tab w:val="left" w:pos="1872"/>
          <w:tab w:val="left" w:pos="9187"/>
        </w:tabs>
        <w:ind w:left="2088" w:hanging="2088"/>
      </w:pPr>
      <w:r>
        <w:tab/>
        <w:t>4/30/2015</w:t>
      </w:r>
      <w:r>
        <w:tab/>
      </w:r>
      <w:r>
        <w:tab/>
      </w:r>
      <w:r w:rsidRPr="007F4459">
        <w:t>Scrivener's error corrected</w:t>
      </w:r>
    </w:p>
    <w:p w:rsidR="004B14D7" w:rsidRDefault="004B14D7" w:rsidP="004B14D7">
      <w:pPr>
        <w:widowControl w:val="0"/>
        <w:tabs>
          <w:tab w:val="right" w:pos="1008"/>
          <w:tab w:val="left" w:pos="1152"/>
          <w:tab w:val="left" w:pos="1872"/>
          <w:tab w:val="left" w:pos="9187"/>
        </w:tabs>
        <w:ind w:left="2088" w:hanging="2088"/>
      </w:pPr>
      <w:r>
        <w:tab/>
        <w:t>5/5/2015</w:t>
      </w:r>
      <w:r>
        <w:tab/>
        <w:t>House</w:t>
      </w:r>
      <w:r>
        <w:tab/>
      </w:r>
      <w:r w:rsidRPr="007F4459">
        <w:t>Introduced and read first time (</w:t>
      </w:r>
      <w:hyperlink r:id="rId14" w:history="1">
        <w:r w:rsidRPr="00B47CF0">
          <w:rPr>
            <w:rStyle w:val="Hyperlink"/>
          </w:rPr>
          <w:t>House Journal</w:t>
        </w:r>
        <w:r w:rsidRPr="00B47CF0">
          <w:rPr>
            <w:rStyle w:val="Hyperlink"/>
          </w:rPr>
          <w:noBreakHyphen/>
          <w:t>page 16</w:t>
        </w:r>
      </w:hyperlink>
      <w:r w:rsidRPr="007F4459">
        <w:t>)</w:t>
      </w:r>
    </w:p>
    <w:p w:rsidR="004B14D7" w:rsidRDefault="004B14D7" w:rsidP="004B14D7">
      <w:pPr>
        <w:widowControl w:val="0"/>
        <w:tabs>
          <w:tab w:val="right" w:pos="1008"/>
          <w:tab w:val="left" w:pos="1152"/>
          <w:tab w:val="left" w:pos="1872"/>
          <w:tab w:val="left" w:pos="9187"/>
        </w:tabs>
        <w:ind w:left="2088" w:hanging="2088"/>
      </w:pPr>
      <w:r>
        <w:tab/>
        <w:t>5/5/2015</w:t>
      </w:r>
      <w:r>
        <w:tab/>
        <w:t>House</w:t>
      </w:r>
      <w:r>
        <w:tab/>
      </w:r>
      <w:r w:rsidRPr="007F4459">
        <w:t xml:space="preserve">Referred to Committee </w:t>
      </w:r>
      <w:r>
        <w:t xml:space="preserve">on </w:t>
      </w:r>
      <w:r w:rsidRPr="007F4459">
        <w:rPr>
          <w:b/>
        </w:rPr>
        <w:t>Judiciary</w:t>
      </w:r>
      <w:r>
        <w:t xml:space="preserve"> </w:t>
      </w:r>
      <w:r w:rsidRPr="007F4459">
        <w:t>(</w:t>
      </w:r>
      <w:hyperlink r:id="rId15" w:history="1">
        <w:r w:rsidRPr="00B47CF0">
          <w:rPr>
            <w:rStyle w:val="Hyperlink"/>
          </w:rPr>
          <w:t>House Journal</w:t>
        </w:r>
        <w:r w:rsidRPr="00B47CF0">
          <w:rPr>
            <w:rStyle w:val="Hyperlink"/>
          </w:rPr>
          <w:noBreakHyphen/>
          <w:t>page 16</w:t>
        </w:r>
      </w:hyperlink>
      <w:r w:rsidRPr="007F4459">
        <w:t>)</w:t>
      </w:r>
    </w:p>
    <w:p w:rsidR="004B14D7" w:rsidRDefault="004B14D7" w:rsidP="004B14D7">
      <w:pPr>
        <w:widowControl w:val="0"/>
        <w:tabs>
          <w:tab w:val="right" w:pos="1008"/>
          <w:tab w:val="left" w:pos="1152"/>
          <w:tab w:val="left" w:pos="1872"/>
          <w:tab w:val="left" w:pos="9187"/>
        </w:tabs>
        <w:ind w:left="2088" w:hanging="2088"/>
      </w:pPr>
      <w:r>
        <w:tab/>
        <w:t>5/20/2015</w:t>
      </w:r>
      <w:r>
        <w:tab/>
        <w:t>House</w:t>
      </w:r>
      <w:r>
        <w:tab/>
      </w:r>
      <w:r w:rsidRPr="007F4459">
        <w:t xml:space="preserve">Committee report: Favorable with amendment </w:t>
      </w:r>
      <w:r w:rsidRPr="007F4459">
        <w:rPr>
          <w:b/>
        </w:rPr>
        <w:t>Judiciary</w:t>
      </w:r>
    </w:p>
    <w:p w:rsidR="004B14D7" w:rsidRDefault="004B14D7" w:rsidP="004B14D7">
      <w:pPr>
        <w:widowControl w:val="0"/>
        <w:tabs>
          <w:tab w:val="right" w:pos="1008"/>
          <w:tab w:val="left" w:pos="1152"/>
          <w:tab w:val="left" w:pos="1872"/>
          <w:tab w:val="left" w:pos="9187"/>
        </w:tabs>
        <w:ind w:left="2088" w:hanging="2088"/>
      </w:pPr>
      <w:r>
        <w:tab/>
        <w:t>5/26/2015</w:t>
      </w:r>
      <w:r>
        <w:tab/>
        <w:t>House</w:t>
      </w:r>
      <w:r>
        <w:tab/>
      </w:r>
      <w:r w:rsidRPr="007F4459">
        <w:t>Amended (</w:t>
      </w:r>
      <w:hyperlink r:id="rId16" w:history="1">
        <w:r w:rsidRPr="00B47CF0">
          <w:rPr>
            <w:rStyle w:val="Hyperlink"/>
          </w:rPr>
          <w:t>House Journal</w:t>
        </w:r>
        <w:r w:rsidRPr="00B47CF0">
          <w:rPr>
            <w:rStyle w:val="Hyperlink"/>
          </w:rPr>
          <w:noBreakHyphen/>
          <w:t>page 22</w:t>
        </w:r>
      </w:hyperlink>
      <w:r w:rsidRPr="007F4459">
        <w:t>)</w:t>
      </w:r>
    </w:p>
    <w:p w:rsidR="004B14D7" w:rsidRDefault="004B14D7" w:rsidP="004B14D7">
      <w:pPr>
        <w:widowControl w:val="0"/>
        <w:tabs>
          <w:tab w:val="right" w:pos="1008"/>
          <w:tab w:val="left" w:pos="1152"/>
          <w:tab w:val="left" w:pos="1872"/>
          <w:tab w:val="left" w:pos="9187"/>
        </w:tabs>
        <w:ind w:left="2088" w:hanging="2088"/>
      </w:pPr>
      <w:r>
        <w:tab/>
        <w:t>5/26/2015</w:t>
      </w:r>
      <w:r>
        <w:tab/>
        <w:t>House</w:t>
      </w:r>
      <w:r>
        <w:tab/>
      </w:r>
      <w:r w:rsidRPr="007F4459">
        <w:t>Read second time (</w:t>
      </w:r>
      <w:hyperlink r:id="rId17" w:history="1">
        <w:r w:rsidRPr="00B47CF0">
          <w:rPr>
            <w:rStyle w:val="Hyperlink"/>
          </w:rPr>
          <w:t>House Journal</w:t>
        </w:r>
        <w:r w:rsidRPr="00B47CF0">
          <w:rPr>
            <w:rStyle w:val="Hyperlink"/>
          </w:rPr>
          <w:noBreakHyphen/>
          <w:t>page 22</w:t>
        </w:r>
      </w:hyperlink>
      <w:r w:rsidRPr="007F4459">
        <w:t>)</w:t>
      </w:r>
    </w:p>
    <w:p w:rsidR="004B14D7" w:rsidRDefault="004B14D7" w:rsidP="004B14D7">
      <w:pPr>
        <w:widowControl w:val="0"/>
        <w:tabs>
          <w:tab w:val="right" w:pos="1008"/>
          <w:tab w:val="left" w:pos="1152"/>
          <w:tab w:val="left" w:pos="1872"/>
          <w:tab w:val="left" w:pos="9187"/>
        </w:tabs>
        <w:ind w:left="2088" w:hanging="2088"/>
      </w:pPr>
      <w:r>
        <w:tab/>
        <w:t>5/26/2015</w:t>
      </w:r>
      <w:r>
        <w:tab/>
        <w:t>House</w:t>
      </w:r>
      <w:r>
        <w:tab/>
      </w:r>
      <w:r w:rsidRPr="007F4459">
        <w:t>Roll call Yeas</w:t>
      </w:r>
      <w:r>
        <w:noBreakHyphen/>
      </w:r>
      <w:r w:rsidRPr="007F4459">
        <w:t>65  Nays</w:t>
      </w:r>
      <w:r>
        <w:noBreakHyphen/>
      </w:r>
      <w:r w:rsidRPr="007F4459">
        <w:t>34 (</w:t>
      </w:r>
      <w:hyperlink r:id="rId18" w:history="1">
        <w:r w:rsidRPr="00B47CF0">
          <w:rPr>
            <w:rStyle w:val="Hyperlink"/>
          </w:rPr>
          <w:t>House Journal</w:t>
        </w:r>
        <w:r w:rsidRPr="00B47CF0">
          <w:rPr>
            <w:rStyle w:val="Hyperlink"/>
          </w:rPr>
          <w:noBreakHyphen/>
          <w:t>page 29</w:t>
        </w:r>
      </w:hyperlink>
      <w:r w:rsidRPr="007F4459">
        <w:t>)</w:t>
      </w:r>
    </w:p>
    <w:p w:rsidR="004B14D7" w:rsidRDefault="004B14D7" w:rsidP="004B14D7">
      <w:pPr>
        <w:widowControl w:val="0"/>
        <w:tabs>
          <w:tab w:val="right" w:pos="1008"/>
          <w:tab w:val="left" w:pos="1152"/>
          <w:tab w:val="left" w:pos="1872"/>
          <w:tab w:val="left" w:pos="9187"/>
        </w:tabs>
        <w:ind w:left="2088" w:hanging="2088"/>
      </w:pPr>
      <w:r>
        <w:tab/>
        <w:t>5/27/2015</w:t>
      </w:r>
      <w:r>
        <w:tab/>
        <w:t>House</w:t>
      </w:r>
      <w:r>
        <w:tab/>
      </w:r>
      <w:r w:rsidRPr="007F4459">
        <w:t>Read third t</w:t>
      </w:r>
      <w:r>
        <w:t xml:space="preserve">ime and returned to Senate with </w:t>
      </w:r>
      <w:r w:rsidRPr="007F4459">
        <w:t>amendments (</w:t>
      </w:r>
      <w:hyperlink r:id="rId19" w:history="1">
        <w:r w:rsidRPr="00B47CF0">
          <w:rPr>
            <w:rStyle w:val="Hyperlink"/>
          </w:rPr>
          <w:t>House Journal</w:t>
        </w:r>
        <w:r w:rsidRPr="00B47CF0">
          <w:rPr>
            <w:rStyle w:val="Hyperlink"/>
          </w:rPr>
          <w:noBreakHyphen/>
          <w:t>page 9</w:t>
        </w:r>
      </w:hyperlink>
      <w:r w:rsidRPr="007F4459">
        <w:t>)</w:t>
      </w:r>
    </w:p>
    <w:p w:rsidR="004B14D7" w:rsidRDefault="004B14D7" w:rsidP="004B14D7">
      <w:pPr>
        <w:widowControl w:val="0"/>
        <w:tabs>
          <w:tab w:val="right" w:pos="1008"/>
          <w:tab w:val="left" w:pos="1152"/>
          <w:tab w:val="left" w:pos="1872"/>
          <w:tab w:val="left" w:pos="9187"/>
        </w:tabs>
        <w:ind w:left="2088" w:hanging="2088"/>
      </w:pPr>
      <w:r>
        <w:tab/>
        <w:t>5/27/2015</w:t>
      </w:r>
      <w:r>
        <w:tab/>
      </w:r>
      <w:r>
        <w:tab/>
      </w:r>
      <w:r w:rsidRPr="007F4459">
        <w:t>Scrivener's error corrected</w:t>
      </w:r>
    </w:p>
    <w:p w:rsidR="004B14D7" w:rsidRDefault="004B14D7" w:rsidP="004B14D7">
      <w:pPr>
        <w:widowControl w:val="0"/>
        <w:tabs>
          <w:tab w:val="right" w:pos="1008"/>
          <w:tab w:val="left" w:pos="1152"/>
          <w:tab w:val="left" w:pos="1872"/>
          <w:tab w:val="left" w:pos="9187"/>
        </w:tabs>
        <w:ind w:left="2088" w:hanging="2088"/>
      </w:pPr>
    </w:p>
    <w:p w:rsidR="005B1D96" w:rsidRDefault="005B1D96" w:rsidP="005B1D96">
      <w:pPr>
        <w:widowControl w:val="0"/>
        <w:tabs>
          <w:tab w:val="right" w:pos="1008"/>
          <w:tab w:val="left" w:pos="1152"/>
          <w:tab w:val="left" w:pos="1872"/>
          <w:tab w:val="left" w:pos="9187"/>
        </w:tabs>
        <w:ind w:left="2088" w:hanging="2088"/>
      </w:pPr>
      <w:r>
        <w:t xml:space="preserve">View the latest </w:t>
      </w:r>
      <w:hyperlink r:id="rId20" w:history="1">
        <w:r w:rsidRPr="005B1D96">
          <w:rPr>
            <w:rStyle w:val="Hyperlink"/>
          </w:rPr>
          <w:t>legislative information</w:t>
        </w:r>
      </w:hyperlink>
      <w:r>
        <w:t xml:space="preserve"> at the website</w:t>
      </w:r>
    </w:p>
    <w:p w:rsidR="005B1D96" w:rsidRDefault="005B1D96" w:rsidP="005B1D96">
      <w:pPr>
        <w:widowControl w:val="0"/>
        <w:tabs>
          <w:tab w:val="right" w:pos="1008"/>
          <w:tab w:val="left" w:pos="1152"/>
          <w:tab w:val="left" w:pos="1872"/>
          <w:tab w:val="left" w:pos="9187"/>
        </w:tabs>
        <w:ind w:left="2088" w:hanging="2088"/>
      </w:pPr>
    </w:p>
    <w:p w:rsidR="005B1D96" w:rsidRPr="005B1D96" w:rsidRDefault="005B1D96" w:rsidP="005B1D96">
      <w:pPr>
        <w:widowControl w:val="0"/>
        <w:tabs>
          <w:tab w:val="right" w:pos="1008"/>
          <w:tab w:val="left" w:pos="1152"/>
          <w:tab w:val="left" w:pos="1872"/>
          <w:tab w:val="left" w:pos="9187"/>
        </w:tabs>
        <w:ind w:left="2088" w:hanging="2088"/>
      </w:pPr>
    </w:p>
    <w:p w:rsidR="005B1D96" w:rsidRDefault="005B1D96" w:rsidP="005B1D96">
      <w:pPr>
        <w:widowControl w:val="0"/>
      </w:pPr>
      <w:r w:rsidRPr="005B1D96">
        <w:rPr>
          <w:b/>
        </w:rPr>
        <w:t>VERSIONS OF THIS BILL</w:t>
      </w:r>
    </w:p>
    <w:p w:rsidR="005B1D96" w:rsidRDefault="005B1D96" w:rsidP="005B1D96">
      <w:pPr>
        <w:widowControl w:val="0"/>
      </w:pPr>
    </w:p>
    <w:p w:rsidR="005B1D96" w:rsidRDefault="00B47CF0" w:rsidP="005B1D96">
      <w:pPr>
        <w:widowControl w:val="0"/>
      </w:pPr>
      <w:hyperlink r:id="rId21" w:history="1">
        <w:r w:rsidR="005B1D96">
          <w:rPr>
            <w:rStyle w:val="Hyperlink"/>
          </w:rPr>
          <w:t>12/10/2014</w:t>
        </w:r>
      </w:hyperlink>
    </w:p>
    <w:p w:rsidR="005B1D96" w:rsidRDefault="00B47CF0" w:rsidP="005B1D96">
      <w:hyperlink r:id="rId22" w:history="1">
        <w:r w:rsidR="00911505" w:rsidRPr="00911505">
          <w:rPr>
            <w:rStyle w:val="Hyperlink"/>
          </w:rPr>
          <w:t>3/4/2015</w:t>
        </w:r>
      </w:hyperlink>
    </w:p>
    <w:p w:rsidR="00911505" w:rsidRDefault="00B47CF0" w:rsidP="005B1D96">
      <w:hyperlink r:id="rId23" w:history="1">
        <w:r w:rsidR="00816228" w:rsidRPr="00816228">
          <w:rPr>
            <w:rStyle w:val="Hyperlink"/>
          </w:rPr>
          <w:t>3/5/2015</w:t>
        </w:r>
      </w:hyperlink>
    </w:p>
    <w:p w:rsidR="00816228" w:rsidRDefault="00B47CF0" w:rsidP="005B1D96">
      <w:hyperlink r:id="rId24" w:history="1">
        <w:r w:rsidR="008718C6" w:rsidRPr="008718C6">
          <w:rPr>
            <w:rStyle w:val="Hyperlink"/>
          </w:rPr>
          <w:t>3/17/2015</w:t>
        </w:r>
      </w:hyperlink>
    </w:p>
    <w:p w:rsidR="008718C6" w:rsidRDefault="00B47CF0" w:rsidP="005B1D96">
      <w:hyperlink r:id="rId25" w:history="1">
        <w:r w:rsidR="00EE6B9A" w:rsidRPr="00EE6B9A">
          <w:rPr>
            <w:rStyle w:val="Hyperlink"/>
          </w:rPr>
          <w:t>3/18/2015</w:t>
        </w:r>
      </w:hyperlink>
    </w:p>
    <w:p w:rsidR="00EE6B9A" w:rsidRDefault="00B47CF0" w:rsidP="005B1D96">
      <w:hyperlink r:id="rId26" w:history="1">
        <w:r w:rsidR="007F068F" w:rsidRPr="007F068F">
          <w:rPr>
            <w:rStyle w:val="Hyperlink"/>
          </w:rPr>
          <w:t>4/29/2015</w:t>
        </w:r>
      </w:hyperlink>
    </w:p>
    <w:p w:rsidR="007F068F" w:rsidRDefault="00B47CF0" w:rsidP="005B1D96">
      <w:hyperlink r:id="rId27" w:history="1">
        <w:r w:rsidR="00650618" w:rsidRPr="00650618">
          <w:rPr>
            <w:rStyle w:val="Hyperlink"/>
          </w:rPr>
          <w:t>4/30/2015</w:t>
        </w:r>
      </w:hyperlink>
    </w:p>
    <w:p w:rsidR="00650618" w:rsidRDefault="00B47CF0" w:rsidP="005B1D96">
      <w:hyperlink r:id="rId28" w:history="1">
        <w:r w:rsidR="00F6256E" w:rsidRPr="00F6256E">
          <w:rPr>
            <w:rStyle w:val="Hyperlink"/>
          </w:rPr>
          <w:t>5/20/2015</w:t>
        </w:r>
      </w:hyperlink>
    </w:p>
    <w:p w:rsidR="00F6256E" w:rsidRDefault="00B47CF0" w:rsidP="005B1D96">
      <w:hyperlink r:id="rId29" w:history="1">
        <w:r w:rsidR="00F53B3B" w:rsidRPr="00F53B3B">
          <w:rPr>
            <w:rStyle w:val="Hyperlink"/>
          </w:rPr>
          <w:t>5/26/2015</w:t>
        </w:r>
      </w:hyperlink>
    </w:p>
    <w:p w:rsidR="00F53B3B" w:rsidRDefault="00B47CF0" w:rsidP="005B1D96">
      <w:hyperlink r:id="rId30" w:history="1">
        <w:r w:rsidR="00BE1F58" w:rsidRPr="00BE1F58">
          <w:rPr>
            <w:rStyle w:val="Hyperlink"/>
          </w:rPr>
          <w:t>5/27/2015</w:t>
        </w:r>
      </w:hyperlink>
    </w:p>
    <w:p w:rsidR="00BE1F58" w:rsidRDefault="00BE1F58" w:rsidP="005B1D96"/>
    <w:p w:rsidR="005B1D96" w:rsidRDefault="005B1D96" w:rsidP="005B1D96">
      <w:pPr>
        <w:sectPr w:rsidR="005B1D96" w:rsidSect="005B1D96">
          <w:pgSz w:w="12240" w:h="15840" w:code="1"/>
          <w:pgMar w:top="1080" w:right="1440" w:bottom="1080" w:left="1440" w:header="720" w:footer="720" w:gutter="0"/>
          <w:cols w:space="720"/>
          <w:noEndnote/>
          <w:docGrid w:linePitch="360"/>
        </w:sectPr>
      </w:pP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E1F58" w:rsidRPr="00C86977"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2015</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C86977" w:rsidRDefault="00BE1F58" w:rsidP="00C86977">
      <w:pPr>
        <w:tabs>
          <w:tab w:val="right" w:pos="5933"/>
        </w:tabs>
        <w:suppressAutoHyphens/>
        <w:jc w:val="both"/>
        <w:rPr>
          <w:rFonts w:eastAsia="Times New Roman"/>
        </w:rPr>
      </w:pPr>
      <w:r>
        <w:rPr>
          <w:rFonts w:eastAsia="Times New Roman"/>
        </w:rPr>
        <w:tab/>
      </w:r>
      <w:r>
        <w:rPr>
          <w:rFonts w:eastAsia="Times New Roman"/>
          <w:b/>
          <w:sz w:val="36"/>
        </w:rPr>
        <w:t>S. 199</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Default="00BE1F58" w:rsidP="009A0DD4">
      <w:pPr>
        <w:tabs>
          <w:tab w:val="right" w:pos="5933"/>
        </w:tabs>
        <w:suppressAutoHyphens/>
        <w:jc w:val="both"/>
        <w:rPr>
          <w:rFonts w:eastAsia="Times New Roman"/>
        </w:rPr>
      </w:pPr>
      <w:r>
        <w:rPr>
          <w:rFonts w:eastAsia="Times New Roman"/>
        </w:rPr>
        <w:t>S. Printed 5/26/15--H.</w:t>
      </w:r>
      <w:r>
        <w:rPr>
          <w:rFonts w:eastAsia="Times New Roman"/>
        </w:rPr>
        <w:tab/>
        <w:t>[SEC 5/27/15 3:26 PM]</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BE1F58" w:rsidRPr="00C86977"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1F58" w:rsidSect="00CD3F77">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8F023B" w:rsidRDefault="00BE1F58"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E1F58" w:rsidRPr="00522CE0"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0D6AED" w:rsidRDefault="00BE1F58"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 AND CREATE “PEANUT’S LAW”, TO PROVIDE A DEFINITION FOR THE TERMS “HIGHWAY WORK ZONE” AND “HIGHWAY WORKER”, TO CREATE THE OFFENSES OF “ENDANGERMENT OF A HIGHWAY WORKER”, AND TO PROVIDE PENALTIES FOR THESE OFFENSES; TO AMEND SECTION 56</w:t>
      </w:r>
      <w:r>
        <w:noBreakHyphen/>
        <w:t>1</w:t>
      </w:r>
      <w:r>
        <w:noBreakHyphen/>
        <w:t>720, RELATING TO THE POINT SYSTEM ESTABLISHED FOR THE EVALUATION OF THE DRIVING RECORD OF PERSONS OPERATING MOTOR VEHICLES, TO PROVIDE THAT “ENDANGERMENT OF A HIGHWAY WORKER” VIOLATIONS RANGE BETWEEN TWO AND SIX POINTS; AND TO REPEAL SECTION 56</w:t>
      </w:r>
      <w:r>
        <w:noBreakHyphen/>
        <w:t>5</w:t>
      </w:r>
      <w:r>
        <w:noBreakHyphen/>
        <w:t>1536 RELATING TO DRIVING IN TEMPORARY WORK ZONES AND PENALTIES FOR UNLAWFUL DRIVING IN TEMPORARY WORK ZONES</w:t>
      </w:r>
      <w:r>
        <w:rPr>
          <w:color w:val="000000" w:themeColor="text1"/>
          <w:u w:color="000000" w:themeColor="text1"/>
        </w:rPr>
        <w:t>.</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E1F58" w:rsidRDefault="00BE1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Default="00BE1F58"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Pr>
          <w:rFonts w:eastAsia="Times New Roman"/>
          <w:snapToGrid w:val="0"/>
          <w:sz w:val="22"/>
          <w:szCs w:val="22"/>
        </w:rPr>
        <w:t xml:space="preserve"> that</w:t>
      </w:r>
      <w:r w:rsidRPr="00B45223">
        <w:rPr>
          <w:rFonts w:eastAsia="Times New Roman"/>
          <w:snapToGrid w:val="0"/>
          <w:sz w:val="22"/>
          <w:szCs w:val="22"/>
        </w:rPr>
        <w:t>:</w:t>
      </w:r>
    </w:p>
    <w:p w:rsidR="00BE1F58" w:rsidRPr="00AE3350" w:rsidRDefault="00BE1F58"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BE1F58" w:rsidRPr="00AE3350"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t>twenty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 by a driver that did not slow down in the road work zone where Peanut was performing his duties as a flag man for a road construction project in Williamsburg County.</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SECTION</w:t>
      </w:r>
      <w:r w:rsidRPr="00BD179A">
        <w:rPr>
          <w:u w:color="000000" w:themeColor="text1"/>
        </w:rPr>
        <w:tab/>
        <w:t>3.</w:t>
      </w:r>
      <w:r w:rsidRPr="00BD179A">
        <w:rPr>
          <w:u w:color="000000" w:themeColor="text1"/>
        </w:rPr>
        <w:tab/>
        <w:t>Section 56</w:t>
      </w:r>
      <w:r w:rsidRPr="00BD179A">
        <w:rPr>
          <w:u w:color="000000" w:themeColor="text1"/>
        </w:rPr>
        <w:noBreakHyphen/>
        <w:t>5</w:t>
      </w:r>
      <w:r w:rsidRPr="00BD179A">
        <w:rPr>
          <w:u w:color="000000" w:themeColor="text1"/>
        </w:rPr>
        <w:noBreakHyphen/>
        <w:t>1535 of the 1976 Code is amended to read: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“Section 56</w:t>
      </w:r>
      <w:r w:rsidRPr="00BD179A">
        <w:rPr>
          <w:u w:color="000000" w:themeColor="text1"/>
        </w:rPr>
        <w:noBreakHyphen/>
        <w:t>5</w:t>
      </w:r>
      <w:r w:rsidRPr="00BD179A">
        <w:rPr>
          <w:u w:color="000000" w:themeColor="text1"/>
        </w:rPr>
        <w:noBreakHyphen/>
        <w:t>1535.</w:t>
      </w:r>
      <w:r w:rsidRPr="00BD179A">
        <w:rPr>
          <w:u w:color="000000" w:themeColor="text1"/>
        </w:rPr>
        <w:tab/>
        <w:t>(A)</w:t>
      </w:r>
      <w:r w:rsidRPr="00BD179A">
        <w:rPr>
          <w:u w:color="000000" w:themeColor="text1"/>
        </w:rPr>
        <w:tab/>
      </w:r>
      <w:r w:rsidRPr="00BD179A">
        <w:rPr>
          <w:strike/>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BD179A">
        <w:rPr>
          <w:strike/>
          <w:u w:color="000000" w:themeColor="text1"/>
        </w:rPr>
        <w:noBreakHyphen/>
        <w:t>five nor more than two hundred dollars or imprisoned not more than thirty days, or both.</w:t>
      </w:r>
      <w:r w:rsidRPr="00BD179A">
        <w:rPr>
          <w:u w:color="000000" w:themeColor="text1"/>
        </w:rPr>
        <w:t xml:space="preserve"> </w:t>
      </w:r>
      <w:r w:rsidRPr="00BD179A">
        <w:rPr>
          <w:u w:val="single" w:color="000000" w:themeColor="text1"/>
        </w:rPr>
        <w:t>For purposes of this section:</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rFonts w:eastAsia="Times New Roman"/>
          <w:snapToGrid w:val="0"/>
          <w:szCs w:val="20"/>
        </w:rPr>
        <w:tab/>
      </w:r>
      <w:r w:rsidRPr="00BD179A">
        <w:rPr>
          <w:rFonts w:eastAsia="Times New Roman"/>
          <w:snapToGrid w:val="0"/>
          <w:szCs w:val="20"/>
        </w:rPr>
        <w:tab/>
      </w:r>
      <w:r w:rsidRPr="00BD179A">
        <w:rPr>
          <w:u w:val="single" w:color="000000" w:themeColor="text1"/>
        </w:rPr>
        <w:t>(1)(a)</w:t>
      </w:r>
      <w:r w:rsidRPr="00BD179A">
        <w:rPr>
          <w:u w:color="000000" w:themeColor="text1"/>
        </w:rPr>
        <w:tab/>
      </w:r>
      <w:r w:rsidRPr="00BD179A">
        <w:rPr>
          <w:u w:val="single" w:color="000000" w:themeColor="text1"/>
        </w:rPr>
        <w:t>‘Highway work zone’ means an area of a roadway, bridge, shoulder, median, or associated right</w:t>
      </w:r>
      <w:r w:rsidRPr="00BD179A">
        <w:rPr>
          <w:u w:val="single" w:color="000000" w:themeColor="text1"/>
        </w:rPr>
        <w:noBreakHyphen/>
        <w:t>of</w:t>
      </w:r>
      <w:r w:rsidRPr="00BD179A">
        <w:rPr>
          <w:u w:val="single" w:color="000000" w:themeColor="text1"/>
        </w:rPr>
        <w:noBreakHyphen/>
        <w:t>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and federal Department of Transportation standards and must be properly installed.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Work vehicles used by highway workers as defined in subsection 2(d),(e), and (f) shall be considered to be in compliance with state Department of Transportation standards if they comply with the provisions of Section 56-5-4700 or National Fire Protection Association (NFPA) standard 1901.</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bookmarkStart w:id="5" w:name="temp"/>
      <w:bookmarkEnd w:id="5"/>
      <w:r w:rsidRPr="00BD179A">
        <w:rPr>
          <w:u w:val="single" w:color="000000" w:themeColor="text1"/>
        </w:rPr>
        <w:t>(2)</w:t>
      </w:r>
      <w:r w:rsidRPr="00BD179A">
        <w:rPr>
          <w:u w:color="000000" w:themeColor="text1"/>
        </w:rPr>
        <w:tab/>
      </w:r>
      <w:r w:rsidRPr="00BD179A">
        <w:rPr>
          <w:u w:val="single" w:color="000000" w:themeColor="text1"/>
        </w:rPr>
        <w:t>‘Highway worker’ means a person who is required to perform work in highway work zones, including:</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 person who performs maintenance, repair, or construction;</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a person who operates a truck, loader, or other equipment;</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a person who performs any other related maintenance work, as required;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(d)</w:t>
      </w:r>
      <w:r w:rsidRPr="00BD179A">
        <w:rPr>
          <w:u w:color="000000" w:themeColor="text1"/>
        </w:rPr>
        <w:tab/>
      </w:r>
      <w:r w:rsidRPr="00BD179A">
        <w:rPr>
          <w:u w:val="single" w:color="000000" w:themeColor="text1"/>
        </w:rPr>
        <w:t>a public safety officer who enforces work zone</w:t>
      </w:r>
      <w:r w:rsidRPr="00BD179A">
        <w:rPr>
          <w:u w:val="single" w:color="000000" w:themeColor="text1"/>
        </w:rPr>
        <w:noBreakHyphen/>
        <w:t>related transportation management or traffic control;</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law enforcement officer who conducts traffic control or enforcement operations; and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an officer or firefighter, an emergency medical services provider, or any other authorized person, who removes hazards or who responds to accidents and other incidents.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t>(B)</w:t>
      </w:r>
      <w:r w:rsidRPr="00BD179A">
        <w:rPr>
          <w:u w:color="000000" w:themeColor="text1"/>
        </w:rPr>
        <w:tab/>
      </w:r>
      <w:r w:rsidRPr="00BD179A">
        <w:rPr>
          <w:strike/>
          <w:u w:color="000000" w:themeColor="text1"/>
        </w:rPr>
        <w:t>A ‘highway work zone’ is the area between the first sign that informs motorists of the existence of the work zone on the highway and the last sign that informs motorists of the end of the work zone.</w:t>
      </w:r>
      <w:r w:rsidRPr="00BD179A">
        <w:rPr>
          <w:u w:color="000000" w:themeColor="text1"/>
        </w:rPr>
        <w:t xml:space="preserve">  </w:t>
      </w:r>
      <w:r w:rsidRPr="00BD179A">
        <w:rPr>
          <w:u w:val="single" w:color="000000" w:themeColor="text1"/>
        </w:rPr>
        <w:t>A person commits the offense of endangerment of a highway worker, if the person is operating a motor vehicle within a highway work zone at anytime, and: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val="single" w:color="000000" w:themeColor="text1"/>
        </w:rPr>
        <w:t>(1)</w:t>
      </w:r>
      <w:r w:rsidRPr="00BD179A">
        <w:rPr>
          <w:u w:color="000000" w:themeColor="text1"/>
        </w:rPr>
        <w:tab/>
      </w:r>
      <w:r w:rsidRPr="00BD179A">
        <w:rPr>
          <w:u w:val="single" w:color="000000" w:themeColor="text1"/>
        </w:rPr>
        <w:t>driving through or around a work zone in any lane not clearly designated for use by motor vehicles traveling through or around a work zone; or</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(2)</w:t>
      </w:r>
      <w:r w:rsidRPr="00BD179A">
        <w:tab/>
      </w:r>
      <w:r w:rsidRPr="00BD179A">
        <w:rPr>
          <w:u w:val="single" w:color="000000" w:themeColor="text1"/>
        </w:rPr>
        <w:t>fails to obey traffic control devices erected for purposes of controlling the flow of motor vehicles through the work zone for any reason other than:</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an emergency;</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the avoidance of an obstacle; or</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the protection of the health and safety of another person.</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(C)</w:t>
      </w:r>
      <w:r w:rsidRPr="00BD179A">
        <w:rPr>
          <w:u w:color="000000" w:themeColor="text1"/>
        </w:rPr>
        <w:tab/>
      </w:r>
      <w:r w:rsidRPr="00BD179A">
        <w:rPr>
          <w:strike/>
          <w:u w:color="000000" w:themeColor="text1"/>
        </w:rPr>
        <w:t>The penalty imposed by this section applies only:</w:t>
      </w:r>
      <w:r w:rsidRPr="00BD179A">
        <w:rPr>
          <w:u w:color="000000" w:themeColor="text1"/>
        </w:rPr>
        <w:t xml:space="preserve"> </w:t>
      </w:r>
      <w:r w:rsidRPr="00BD179A">
        <w:rPr>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D179A">
        <w:rPr>
          <w:u w:color="000000" w:themeColor="text1"/>
        </w:rPr>
        <w:tab/>
      </w:r>
      <w:r w:rsidRPr="00BD179A">
        <w:rPr>
          <w:u w:color="000000" w:themeColor="text1"/>
        </w:rPr>
        <w:tab/>
      </w:r>
      <w:r w:rsidRPr="00BD179A">
        <w:rPr>
          <w:strike/>
          <w:u w:color="000000" w:themeColor="text1"/>
        </w:rPr>
        <w:t>(1)</w:t>
      </w:r>
      <w:r w:rsidRPr="00BD179A">
        <w:rPr>
          <w:u w:color="000000" w:themeColor="text1"/>
        </w:rPr>
        <w:tab/>
      </w:r>
      <w:r w:rsidRPr="00BD179A">
        <w:rPr>
          <w:strike/>
          <w:u w:color="000000" w:themeColor="text1"/>
        </w:rPr>
        <w:t>if a sign is posted at the beginning of the active work zone that states ‘WORK ZONE $200 FINE AND 30 DAYS IMPRISONMENT FOR SPEEDING’;</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BD179A">
        <w:rPr>
          <w:u w:color="000000" w:themeColor="text1"/>
        </w:rPr>
        <w:tab/>
      </w:r>
      <w:r w:rsidRPr="00BD179A">
        <w:rPr>
          <w:u w:color="000000" w:themeColor="text1"/>
        </w:rPr>
        <w:tab/>
      </w:r>
      <w:r w:rsidRPr="00BD179A">
        <w:rPr>
          <w:strike/>
          <w:u w:color="000000" w:themeColor="text1"/>
        </w:rPr>
        <w:t>(2)</w:t>
      </w:r>
      <w:r w:rsidRPr="00BD179A">
        <w:rPr>
          <w:u w:color="000000" w:themeColor="text1"/>
        </w:rPr>
        <w:tab/>
      </w:r>
      <w:r w:rsidRPr="00BD179A">
        <w:rPr>
          <w:strike/>
          <w:u w:color="000000" w:themeColor="text1"/>
        </w:rPr>
        <w:t>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(D</w:t>
      </w:r>
      <w:r w:rsidRPr="00BD179A">
        <w:rPr>
          <w:u w:val="single"/>
        </w:rPr>
        <w:t>)(1)</w:t>
      </w:r>
      <w:r w:rsidRPr="00BD179A">
        <w:rPr>
          <w:u w:color="000000" w:themeColor="text1"/>
        </w:rPr>
        <w:tab/>
      </w:r>
      <w:r w:rsidRPr="00BD179A">
        <w:rPr>
          <w:u w:val="single" w:color="000000" w:themeColor="text1"/>
        </w:rPr>
        <w:t>A person who commits the offense of endangerment of a highway worker where the highway worker suffers no physical injury is guilty of a misdemeanor, and, upon conviction, must be fined not more than five hundred dollars and not less than seventy</w:t>
      </w:r>
      <w:r w:rsidRPr="00BD179A">
        <w:rPr>
          <w:u w:val="single" w:color="000000" w:themeColor="text1"/>
        </w:rPr>
        <w:noBreakHyphen/>
        <w:t>five dollars, or imprisonment of not more than thirty days, or both.</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rPr>
        <w:t>(2)</w:t>
      </w:r>
      <w:r w:rsidRPr="00BD179A">
        <w:tab/>
      </w:r>
      <w:r w:rsidRPr="00BD179A">
        <w:rPr>
          <w:u w:val="single" w:color="000000" w:themeColor="text1"/>
        </w:rPr>
        <w:t>A person who commits the offense of endangerment of a highway worker where the highway worker suffers physical injury and the committing of the offense is the proximate cause of the physical injury is guilty of a misdemeanor, and, upon conviction, must be fined not more than two thousand dollars and not less than five hundred dollars, or imprisoned for not more than sixty days, or both.</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(3)</w:t>
      </w:r>
      <w:r w:rsidRPr="00BD179A">
        <w:tab/>
      </w:r>
      <w:r w:rsidRPr="00BD179A">
        <w:rPr>
          <w:u w:val="single" w:color="000000" w:themeColor="text1"/>
        </w:rPr>
        <w:t>A person who commits the offense of endangerment of a highway worker where the highway worker suffers great bodily injury, as defined in Section 56</w:t>
      </w:r>
      <w:r w:rsidRPr="00BD179A">
        <w:rPr>
          <w:u w:val="single" w:color="000000" w:themeColor="text1"/>
        </w:rPr>
        <w:noBreakHyphen/>
        <w:t>5</w:t>
      </w:r>
      <w:r w:rsidRPr="00BD179A">
        <w:rPr>
          <w:u w:val="single" w:color="000000" w:themeColor="text1"/>
        </w:rPr>
        <w:noBreakHyphen/>
        <w:t>2945(B), and the committing of the offense is the proximate cause of the great bodily injury is guilty of a misdemeanor, and, upon conviction, must be fined not more than five thousand dollars and not less than two thousand dollars, or imprisoned for not more than three years, or both.</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r>
      <w:r w:rsidRPr="00BD179A">
        <w:rPr>
          <w:u w:val="single" w:color="000000" w:themeColor="text1"/>
        </w:rPr>
        <w:t>(4)</w:t>
      </w:r>
      <w:r w:rsidRPr="00BD179A">
        <w:tab/>
      </w:r>
      <w:r w:rsidRPr="00BD179A">
        <w:rPr>
          <w:u w:val="single"/>
        </w:rPr>
        <w:t>A person who commits the offense of endangerment of a highway worker where the death of the highway worker ensues within three years as a proximate result of injury received by the highway worker related to the endangerment of the highway worker is guilty of reckless vehicular homicide pursuant to Section 56</w:t>
      </w:r>
      <w:r w:rsidRPr="00BD179A">
        <w:rPr>
          <w:u w:val="single"/>
        </w:rPr>
        <w:noBreakHyphen/>
        <w:t>5</w:t>
      </w:r>
      <w:r w:rsidRPr="00BD179A">
        <w:rPr>
          <w:u w:val="single"/>
        </w:rPr>
        <w:noBreakHyphen/>
        <w:t>2910, and, upon conviction, is subject to the penalties contained in that section, including license reinstatement and related conditions.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person who is convicted pursuant to subsection (D)(1), in addition to any other penalty must have two points assessed against his motor vehicle operating record. A person who is convicted pursuant to subsection (D)(2), in addition to any other penalty must have four points assessed against his motor vehicle operating record. A person who is convicted pursuant to subsection (D)(3), in addition to any other penalty must have six points assessed against his motor vehicle operating record.</w:t>
      </w:r>
    </w:p>
    <w:p w:rsidR="00BE1F58" w:rsidRPr="00A62F56"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BD179A">
        <w:rPr>
          <w:u w:color="000000" w:themeColor="text1"/>
        </w:rPr>
        <w:t>”</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BE1F58" w:rsidRPr="00D87179"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7</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207(A) of the 1976 Code, as last amended by Act 353 of 2008, is further amended to read:</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pleads guilty or nolo contendere to, or forfeits bond for an offense occurring after June 30, 2008, tried in magistrates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magistrate and deposited as required by Section 22</w:t>
      </w:r>
      <w:r w:rsidRPr="00BD179A">
        <w:noBreakHyphen/>
        <w:t>1</w:t>
      </w:r>
      <w:r w:rsidRPr="00BD179A">
        <w:noBreakHyphen/>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designa</w:t>
      </w:r>
      <w:r>
        <w:t>ted for handicapped persons.”</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8</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207(C) of the 1976 Code, as last amended by Act 353 of 2008, is further amended to read:</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“(C)</w:t>
      </w:r>
      <w:r w:rsidRPr="00BD179A">
        <w:rPr>
          <w:rFonts w:eastAsia="Times New Roman"/>
          <w:szCs w:val="20"/>
        </w:rPr>
        <w:tab/>
      </w:r>
      <w:r w:rsidRPr="00BD179A">
        <w:t>After deducting amounts provided pursuant to Section 14</w:t>
      </w:r>
      <w:r w:rsidRPr="00BD179A">
        <w:noBreakHyphen/>
        <w:t>1</w:t>
      </w:r>
      <w:r w:rsidRPr="00BD179A">
        <w:noBreakHyphen/>
        <w:t>210, the State Treasurer shall deposit the balance of the assessments received as follows: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32.36 percent for programs established pursuant to Chapter 21 of Title 24 and the Shock Incarceration Program as provided in Article 13, Chapter 13 of Title 24;</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20.72 percent to the Law Enforcement Training Council for training in the fields of law enforcement and criminal justice;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18.82 percent for the State Office of Victim Assistance;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15.93 percent to the general fund;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10.49 percent to the Office of Indigent Defense for the defense of indigents;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 xml:space="preserve">.92 percent to the Office of the Attorney General for a fund to provide support for counties involved in complex criminal litigation. For the purposes of this item, </w:t>
      </w:r>
      <w:r>
        <w:t>‘complex criminal litigation’</w:t>
      </w:r>
      <w:r w:rsidRPr="00BD179A">
        <w:t xml:space="preserve">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t>‘</w:t>
      </w:r>
      <w:r w:rsidRPr="00BD179A">
        <w:t>first received, first paid</w:t>
      </w:r>
      <w:r>
        <w:t>’</w:t>
      </w:r>
      <w:r w:rsidRPr="00BD179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BD179A">
        <w:rPr>
          <w:strike/>
        </w:rPr>
        <w:t>and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.16 percent to the Office of the State Treasurer to defray the administrative expenses associated with collecting and distributing the revenue of these assessments</w:t>
      </w:r>
      <w:r w:rsidRPr="00BD179A">
        <w:rPr>
          <w:u w:val="single"/>
        </w:rPr>
        <w:t>; and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tab/>
      </w:r>
      <w:r w:rsidRPr="00BD179A">
        <w:tab/>
      </w:r>
      <w:r w:rsidRPr="00BD179A">
        <w:rPr>
          <w:u w:val="single"/>
        </w:rPr>
        <w:t>(9)</w:t>
      </w:r>
      <w:r w:rsidRPr="00BD179A">
        <w:tab/>
      </w:r>
      <w:r w:rsidRPr="00BD179A">
        <w:rPr>
          <w:u w:val="single"/>
        </w:rPr>
        <w:t>10 percent to the Department of Public Safety to defray the cost of hiring additional officers for work zone enforcement and training for the Safety Improvement Team</w:t>
      </w:r>
      <w:r>
        <w:t>.”</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9</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208(A) of the 1976 Code, as last amended by Act 353 of 2008, is further amended to read:</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or pleads guilty or nolo contendere to, or forfeits bond for an offense occurring after June 30, 2008, tried in municipal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w:t>
      </w:r>
      <w:r>
        <w:t>ated for handicapped persons.”</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10</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208(C) of the 1976 Code, as last amended by Act 353 of 2008, is further amended to read:</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w:t>
      </w:r>
      <w:r w:rsidRPr="00BD179A">
        <w:t>(C)</w:t>
      </w:r>
      <w:r w:rsidRPr="00BD179A">
        <w:tab/>
        <w:t>After deducting amounts provided pursuant to Section 14</w:t>
      </w:r>
      <w:r w:rsidRPr="00BD179A">
        <w:noBreakHyphen/>
        <w:t>1</w:t>
      </w:r>
      <w:r w:rsidRPr="00BD179A">
        <w:noBreakHyphen/>
        <w:t>210, the State Treasurer shall deposit the balance of the assessments received as follows: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14.04 percent for programs established pursuant to Chapter 21 of Title 24 and the Shock Incarceration Program as provided in Article 13, Chapter 13 of Title 24;</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13.89 percent to the Law Enforcement Training Council for training in the fields of law enforcement and criminal justice;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10.38 percent for the State Office of Victim Assistance;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11.53 percent to the general fund;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10.56 percent to the Office of Indigent Defense for the defense of indigents;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.89 percent to the Department of Mental Health to be used exclusively for the treatment and rehabilitation of drug addicts within the department’s addiction center facilities;</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 xml:space="preserve">.54 percent to the Office of the Attorney General for a fund to provide support for counties involved in complex criminal litigation. For the purposes of this item, </w:t>
      </w:r>
      <w:r>
        <w:t>‘</w:t>
      </w:r>
      <w:r w:rsidRPr="00BD179A">
        <w:t>complex criminal litigation</w:t>
      </w:r>
      <w:r>
        <w:t>’</w:t>
      </w:r>
      <w:r w:rsidRPr="00BD179A">
        <w:t xml:space="preserve">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BD179A">
        <w:noBreakHyphen/>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t>‘</w:t>
      </w:r>
      <w:r w:rsidRPr="00BD179A">
        <w:t>first received, first paid</w:t>
      </w:r>
      <w:r>
        <w:t>’</w:t>
      </w:r>
      <w:r w:rsidRPr="00BD179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(9)(a)</w:t>
      </w:r>
      <w:r w:rsidRPr="00BD179A">
        <w:tab/>
        <w:t>9.16 percent to the Department of Public Safety for the programs established pursuant to Section 56</w:t>
      </w:r>
      <w:r w:rsidRPr="00BD179A">
        <w:noBreakHyphen/>
        <w:t>5</w:t>
      </w:r>
      <w:r w:rsidRPr="00BD179A">
        <w:noBreakHyphen/>
        <w:t>2953(E); and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r>
      <w:r w:rsidRPr="00BD179A">
        <w:tab/>
        <w:t>(b)</w:t>
      </w:r>
      <w:r w:rsidRPr="00BD179A">
        <w:tab/>
        <w:t>1.31 percent to SLED for the programs established pursuant to Section 56</w:t>
      </w:r>
      <w:r w:rsidRPr="00BD179A">
        <w:noBreakHyphen/>
        <w:t>5</w:t>
      </w:r>
      <w:r w:rsidRPr="00BD179A">
        <w:noBreakHyphen/>
        <w:t>2953(E);</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(10)</w:t>
      </w:r>
      <w:r w:rsidRPr="00BD179A">
        <w:tab/>
        <w:t>13.61 percent to the Governor’s Task Force on Litter and in the expenditure of these funds, the provisions of Chapter 35 of Title 11 do not apply;</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(11)</w:t>
      </w:r>
      <w:r w:rsidRPr="00BD179A">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BD179A">
        <w:noBreakHyphen/>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BD179A">
        <w:rPr>
          <w:strike/>
        </w:rPr>
        <w:t>and</w:t>
      </w:r>
    </w:p>
    <w:p w:rsidR="00BE1F58" w:rsidRPr="00BD179A"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t>(12)</w:t>
      </w:r>
      <w:r w:rsidRPr="00BD179A">
        <w:tab/>
        <w:t>.12 percent to the Office of the State Treasurer to defray the administrative expenses associated with the collecting and distributing the revenue of these assessments</w:t>
      </w:r>
      <w:r w:rsidRPr="00BD179A">
        <w:rPr>
          <w:u w:val="single"/>
        </w:rPr>
        <w:t>; and</w:t>
      </w:r>
    </w:p>
    <w:p w:rsidR="00BE1F58" w:rsidRDefault="00BE1F58"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179A">
        <w:tab/>
      </w:r>
      <w:r w:rsidRPr="00BD179A">
        <w:tab/>
      </w:r>
      <w:r w:rsidRPr="00BD179A">
        <w:rPr>
          <w:u w:val="single"/>
        </w:rPr>
        <w:t>(13)</w:t>
      </w:r>
      <w:r w:rsidRPr="00BD179A">
        <w:tab/>
      </w:r>
      <w:r w:rsidRPr="00BD179A">
        <w:rPr>
          <w:u w:val="single"/>
        </w:rPr>
        <w:t>10 percent to the Department of Public Safety to defray the cost of hiring additional officers for work zone enforcement and training for the Safety Improvement Team</w:t>
      </w:r>
      <w:r w:rsidRPr="00BD179A">
        <w:t>.”</w:t>
      </w:r>
    </w:p>
    <w:p w:rsidR="00BE1F58" w:rsidRPr="00A62F56"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11</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BE1F58" w:rsidRDefault="00BE1F58"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1D96" w:rsidRDefault="005B1D96" w:rsidP="00BE1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B1D96" w:rsidSect="00CD3F77">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1408B7-8E14-41E3-B7E2-2106C679844F}"/>
    <w:embedBold r:id="rId2" w:fontKey="{A60CA0C1-7F67-4802-AFB7-6E1BBE3F889A}"/>
  </w:font>
  <w:font w:name="Calibri">
    <w:panose1 w:val="020F0502020204030204"/>
    <w:charset w:val="00"/>
    <w:family w:val="swiss"/>
    <w:pitch w:val="variable"/>
    <w:sig w:usb0="E00002FF" w:usb1="4000ACFF" w:usb2="00000001" w:usb3="00000000" w:csb0="0000019F" w:csb1="00000000"/>
    <w:embedRegular r:id="rId3" w:fontKey="{28486842-3EF0-45C4-9D9E-192D81DF6F63}"/>
    <w:embedBold r:id="rId4" w:fontKey="{26829EF1-3380-4DDB-8742-12F1AA1DF9D8}"/>
  </w:font>
  <w:font w:name="Cambria">
    <w:panose1 w:val="02040503050406030204"/>
    <w:charset w:val="00"/>
    <w:family w:val="roman"/>
    <w:pitch w:val="variable"/>
    <w:sig w:usb0="E00002FF" w:usb1="400004FF" w:usb2="00000000" w:usb3="00000000" w:csb0="0000019F" w:csb1="00000000"/>
    <w:embedRegular r:id="rId5" w:fontKey="{811678C2-B94C-43F6-BD07-7C0F637A61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58" w:rsidRPr="000F4D42" w:rsidRDefault="00BE1F58" w:rsidP="000F4D42">
    <w:pPr>
      <w:pStyle w:val="Footer"/>
      <w:tabs>
        <w:tab w:val="clear" w:pos="4680"/>
        <w:tab w:val="clear" w:pos="9360"/>
        <w:tab w:val="center" w:pos="2995"/>
      </w:tabs>
      <w:spacing w:before="120"/>
    </w:pPr>
    <w:r>
      <w:t>[199-</w:t>
    </w:r>
    <w:r>
      <w:fldChar w:fldCharType="begin"/>
    </w:r>
    <w:r>
      <w:instrText xml:space="preserve"> PAGE  \* MERGEFORMAT </w:instrText>
    </w:r>
    <w:r>
      <w:fldChar w:fldCharType="separate"/>
    </w:r>
    <w:r w:rsidR="00B47CF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BE1F58"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2466E"/>
    <w:rsid w:val="00042AC1"/>
    <w:rsid w:val="00046516"/>
    <w:rsid w:val="0007601D"/>
    <w:rsid w:val="000B0720"/>
    <w:rsid w:val="000B1118"/>
    <w:rsid w:val="000B5EAF"/>
    <w:rsid w:val="000F4D42"/>
    <w:rsid w:val="00103756"/>
    <w:rsid w:val="00130900"/>
    <w:rsid w:val="001315B2"/>
    <w:rsid w:val="0014156E"/>
    <w:rsid w:val="00170561"/>
    <w:rsid w:val="00181027"/>
    <w:rsid w:val="00186AC9"/>
    <w:rsid w:val="00197DF1"/>
    <w:rsid w:val="001A2E4C"/>
    <w:rsid w:val="001A42B1"/>
    <w:rsid w:val="001B3DD9"/>
    <w:rsid w:val="001B7E5D"/>
    <w:rsid w:val="001D3BAC"/>
    <w:rsid w:val="00216025"/>
    <w:rsid w:val="00224656"/>
    <w:rsid w:val="00245C4E"/>
    <w:rsid w:val="00296FFA"/>
    <w:rsid w:val="002C1321"/>
    <w:rsid w:val="002C17F3"/>
    <w:rsid w:val="002C1BE0"/>
    <w:rsid w:val="002C2031"/>
    <w:rsid w:val="002C5896"/>
    <w:rsid w:val="002D3BED"/>
    <w:rsid w:val="00307C2B"/>
    <w:rsid w:val="00334B60"/>
    <w:rsid w:val="00383247"/>
    <w:rsid w:val="003D6E2B"/>
    <w:rsid w:val="003E7597"/>
    <w:rsid w:val="0044020F"/>
    <w:rsid w:val="00450668"/>
    <w:rsid w:val="004813A2"/>
    <w:rsid w:val="004952FA"/>
    <w:rsid w:val="004B14D7"/>
    <w:rsid w:val="004B6A22"/>
    <w:rsid w:val="004D7F37"/>
    <w:rsid w:val="004F4A87"/>
    <w:rsid w:val="00522CE0"/>
    <w:rsid w:val="00565148"/>
    <w:rsid w:val="00570403"/>
    <w:rsid w:val="00572B3C"/>
    <w:rsid w:val="00581022"/>
    <w:rsid w:val="00593361"/>
    <w:rsid w:val="005A216D"/>
    <w:rsid w:val="005A395E"/>
    <w:rsid w:val="005A413B"/>
    <w:rsid w:val="005A5017"/>
    <w:rsid w:val="005A648C"/>
    <w:rsid w:val="005B1D96"/>
    <w:rsid w:val="005E35E9"/>
    <w:rsid w:val="005F1745"/>
    <w:rsid w:val="00637162"/>
    <w:rsid w:val="00650618"/>
    <w:rsid w:val="006575B1"/>
    <w:rsid w:val="006715F9"/>
    <w:rsid w:val="006A1802"/>
    <w:rsid w:val="006C74EA"/>
    <w:rsid w:val="00720D40"/>
    <w:rsid w:val="007318D4"/>
    <w:rsid w:val="00753061"/>
    <w:rsid w:val="00765784"/>
    <w:rsid w:val="007A4390"/>
    <w:rsid w:val="007E5CB7"/>
    <w:rsid w:val="007F068F"/>
    <w:rsid w:val="00816228"/>
    <w:rsid w:val="008314D2"/>
    <w:rsid w:val="00847D22"/>
    <w:rsid w:val="008718C6"/>
    <w:rsid w:val="0089621F"/>
    <w:rsid w:val="008B2F42"/>
    <w:rsid w:val="008C3697"/>
    <w:rsid w:val="008D451E"/>
    <w:rsid w:val="008E185F"/>
    <w:rsid w:val="008F023B"/>
    <w:rsid w:val="00904E16"/>
    <w:rsid w:val="00911505"/>
    <w:rsid w:val="009162B3"/>
    <w:rsid w:val="00927C62"/>
    <w:rsid w:val="00983951"/>
    <w:rsid w:val="00984124"/>
    <w:rsid w:val="00984640"/>
    <w:rsid w:val="00992629"/>
    <w:rsid w:val="00995C37"/>
    <w:rsid w:val="009C118A"/>
    <w:rsid w:val="00A02011"/>
    <w:rsid w:val="00A04CDD"/>
    <w:rsid w:val="00A17336"/>
    <w:rsid w:val="00A33F86"/>
    <w:rsid w:val="00A4011E"/>
    <w:rsid w:val="00A66922"/>
    <w:rsid w:val="00A84AEA"/>
    <w:rsid w:val="00A86015"/>
    <w:rsid w:val="00A9594E"/>
    <w:rsid w:val="00AE59C8"/>
    <w:rsid w:val="00B10098"/>
    <w:rsid w:val="00B47CF0"/>
    <w:rsid w:val="00B5248E"/>
    <w:rsid w:val="00B5790D"/>
    <w:rsid w:val="00B945C5"/>
    <w:rsid w:val="00BA20EA"/>
    <w:rsid w:val="00BB5AFC"/>
    <w:rsid w:val="00BC0A56"/>
    <w:rsid w:val="00BE1F58"/>
    <w:rsid w:val="00C45366"/>
    <w:rsid w:val="00C57023"/>
    <w:rsid w:val="00C74052"/>
    <w:rsid w:val="00CA4A24"/>
    <w:rsid w:val="00CB187A"/>
    <w:rsid w:val="00CC0EC7"/>
    <w:rsid w:val="00CC627E"/>
    <w:rsid w:val="00CE7925"/>
    <w:rsid w:val="00D103E6"/>
    <w:rsid w:val="00D1088B"/>
    <w:rsid w:val="00D14DE6"/>
    <w:rsid w:val="00D156D2"/>
    <w:rsid w:val="00D35486"/>
    <w:rsid w:val="00D5084C"/>
    <w:rsid w:val="00D53E29"/>
    <w:rsid w:val="00D86943"/>
    <w:rsid w:val="00D95C4A"/>
    <w:rsid w:val="00DA47B9"/>
    <w:rsid w:val="00DE5635"/>
    <w:rsid w:val="00DF53D2"/>
    <w:rsid w:val="00E058D3"/>
    <w:rsid w:val="00E76AD9"/>
    <w:rsid w:val="00E91E2F"/>
    <w:rsid w:val="00EA3546"/>
    <w:rsid w:val="00EA71CD"/>
    <w:rsid w:val="00EB47AE"/>
    <w:rsid w:val="00EC34E1"/>
    <w:rsid w:val="00EE6B9A"/>
    <w:rsid w:val="00F0234A"/>
    <w:rsid w:val="00F05CF2"/>
    <w:rsid w:val="00F325C3"/>
    <w:rsid w:val="00F4139A"/>
    <w:rsid w:val="00F51241"/>
    <w:rsid w:val="00F52959"/>
    <w:rsid w:val="00F53B3B"/>
    <w:rsid w:val="00F55884"/>
    <w:rsid w:val="00F6256E"/>
    <w:rsid w:val="00F83ED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character" w:styleId="Hyperlink">
    <w:name w:val="Hyperlink"/>
    <w:basedOn w:val="DefaultParagraphFont"/>
    <w:uiPriority w:val="99"/>
    <w:unhideWhenUsed/>
    <w:rsid w:val="005B1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4-15.docx" TargetMode="External"/><Relationship Id="rId13" Type="http://schemas.openxmlformats.org/officeDocument/2006/relationships/hyperlink" Target="file:///h:\SJ%20Archive\2015\04-30-15.docx" TargetMode="External"/><Relationship Id="rId18" Type="http://schemas.openxmlformats.org/officeDocument/2006/relationships/hyperlink" Target="file:///h:\HJ%20Archive\2015\05-26-15.docx" TargetMode="External"/><Relationship Id="rId26" Type="http://schemas.openxmlformats.org/officeDocument/2006/relationships/hyperlink" Target="file:///p:\pprever\2015-16\199_20150429.docx" TargetMode="External"/><Relationship Id="rId3" Type="http://schemas.openxmlformats.org/officeDocument/2006/relationships/webSettings" Target="webSettings.xml"/><Relationship Id="rId21" Type="http://schemas.openxmlformats.org/officeDocument/2006/relationships/hyperlink" Target="file:///p:\pprever\2015-16\199_20141210.docx" TargetMode="External"/><Relationship Id="rId34" Type="http://schemas.openxmlformats.org/officeDocument/2006/relationships/theme" Target="theme/theme1.xml"/><Relationship Id="rId7" Type="http://schemas.openxmlformats.org/officeDocument/2006/relationships/hyperlink" Target="file:///h:\SJ%20Archive\2015\01-13-15.docx" TargetMode="External"/><Relationship Id="rId12" Type="http://schemas.openxmlformats.org/officeDocument/2006/relationships/hyperlink" Target="file:///h:\SJ%20Archive\2015\04-29-15.docx" TargetMode="External"/><Relationship Id="rId17" Type="http://schemas.openxmlformats.org/officeDocument/2006/relationships/hyperlink" Target="file:///h:\HJ%20Archive\2015\05-26-15.docx" TargetMode="External"/><Relationship Id="rId25" Type="http://schemas.openxmlformats.org/officeDocument/2006/relationships/hyperlink" Target="file:///p:\pprever\2015-16\199_20150318.docx"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5\05-26-15.docx" TargetMode="External"/><Relationship Id="rId20" Type="http://schemas.openxmlformats.org/officeDocument/2006/relationships/hyperlink" Target="http://www.scstatehouse.gov/billsearch.php?billnumbers=199&amp;session=121&amp;summary=B" TargetMode="External"/><Relationship Id="rId29" Type="http://schemas.openxmlformats.org/officeDocument/2006/relationships/hyperlink" Target="file:///p:\pprever\2015-16\199_20150526.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4-29-15.docx" TargetMode="External"/><Relationship Id="rId24" Type="http://schemas.openxmlformats.org/officeDocument/2006/relationships/hyperlink" Target="file:///p:\pprever\2015-16\199_20150317.docx"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5\05-05-15.docx" TargetMode="External"/><Relationship Id="rId23" Type="http://schemas.openxmlformats.org/officeDocument/2006/relationships/hyperlink" Target="file:///p:\pprever\2015-16\199_20150305.docx" TargetMode="External"/><Relationship Id="rId28" Type="http://schemas.openxmlformats.org/officeDocument/2006/relationships/hyperlink" Target="file:///p:\pprever\2015-16\199_20150520.docx" TargetMode="External"/><Relationship Id="rId10" Type="http://schemas.openxmlformats.org/officeDocument/2006/relationships/hyperlink" Target="file:///h:\SJ%20Archive\2015\04-29-15.docx" TargetMode="External"/><Relationship Id="rId19" Type="http://schemas.openxmlformats.org/officeDocument/2006/relationships/hyperlink" Target="file:///h:\HJ%20Archive\2015\05-27-15.docx"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5\03-17-15.docx" TargetMode="External"/><Relationship Id="rId14" Type="http://schemas.openxmlformats.org/officeDocument/2006/relationships/hyperlink" Target="file:///h:\HJ%20Archive\2015\05-05-15.docx" TargetMode="External"/><Relationship Id="rId22" Type="http://schemas.openxmlformats.org/officeDocument/2006/relationships/hyperlink" Target="file:///p:\pprever\2015-16\199_20150304.docx" TargetMode="External"/><Relationship Id="rId27" Type="http://schemas.openxmlformats.org/officeDocument/2006/relationships/hyperlink" Target="file:///p:\pprever\2015-16\199_20150430.docx" TargetMode="External"/><Relationship Id="rId30" Type="http://schemas.openxmlformats.org/officeDocument/2006/relationships/hyperlink" Target="file:///p:\pprever\2015-16\199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3603</Words>
  <Characters>20541</Characters>
  <Application>Microsoft Office Word</Application>
  <DocSecurity>6</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Peanut's Law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