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030157">
        <w:rPr>
          <w:rFonts w:cs="Times New Roman"/>
          <w:b/>
        </w:rPr>
        <w:t>South Carolina General Assembly</w:t>
      </w: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0157">
        <w:rPr>
          <w:rFonts w:cs="Times New Roman"/>
        </w:rPr>
        <w:t>121st Session, 2015-2016</w:t>
      </w: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0157" w:rsidRPr="00030157" w:rsidRDefault="00B034DC"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A198, R213, S233</w:t>
      </w: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0157">
        <w:rPr>
          <w:rFonts w:cs="Times New Roman"/>
          <w:b/>
        </w:rPr>
        <w:t>STATUS INFORMATION</w:t>
      </w: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0157">
        <w:rPr>
          <w:rFonts w:cs="Times New Roman"/>
        </w:rPr>
        <w:t>General Bill</w:t>
      </w: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0157">
        <w:rPr>
          <w:rFonts w:cs="Times New Roman"/>
        </w:rPr>
        <w:t>Sponsors: Senators Campsen, Hembree and Grooms</w:t>
      </w: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0157">
        <w:rPr>
          <w:rFonts w:cs="Times New Roman"/>
        </w:rPr>
        <w:t>Document Path: l:\s-res\gec\025publ.ksg.gec.docx</w:t>
      </w: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3032" w:rsidRDefault="001C3032"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1C3032" w:rsidRDefault="001C3032"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12, 2016</w:t>
      </w:r>
    </w:p>
    <w:p w:rsidR="001C3032" w:rsidRDefault="001C3032"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5, 2016</w:t>
      </w:r>
    </w:p>
    <w:p w:rsidR="001C3032" w:rsidRDefault="001C3032"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2016</w:t>
      </w:r>
    </w:p>
    <w:p w:rsidR="001C3032" w:rsidRDefault="001C3032"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1C3032" w:rsidRDefault="001C3032"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0157">
        <w:rPr>
          <w:rFonts w:cs="Times New Roman"/>
        </w:rPr>
        <w:t>Summary: Prayer or invocation</w:t>
      </w: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0157" w:rsidRPr="00030157" w:rsidRDefault="00030157" w:rsidP="00030157">
      <w:pPr>
        <w:widowControl w:val="0"/>
        <w:tabs>
          <w:tab w:val="center" w:pos="590"/>
          <w:tab w:val="center" w:pos="1440"/>
          <w:tab w:val="left" w:pos="1872"/>
          <w:tab w:val="left" w:pos="9187"/>
        </w:tabs>
        <w:rPr>
          <w:rFonts w:cs="Times New Roman"/>
        </w:rPr>
      </w:pPr>
      <w:r w:rsidRPr="00030157">
        <w:rPr>
          <w:rFonts w:cs="Times New Roman"/>
          <w:b/>
        </w:rPr>
        <w:t>HISTORY OF LEGISLATIVE ACTIONS</w:t>
      </w:r>
    </w:p>
    <w:p w:rsidR="00030157" w:rsidRPr="00030157" w:rsidRDefault="00030157" w:rsidP="00030157">
      <w:pPr>
        <w:widowControl w:val="0"/>
        <w:tabs>
          <w:tab w:val="center" w:pos="590"/>
          <w:tab w:val="center" w:pos="1440"/>
          <w:tab w:val="left" w:pos="1872"/>
          <w:tab w:val="left" w:pos="9187"/>
        </w:tabs>
        <w:rPr>
          <w:rFonts w:cs="Times New Roman"/>
        </w:rPr>
      </w:pPr>
    </w:p>
    <w:p w:rsidR="00030157" w:rsidRPr="00030157" w:rsidRDefault="00030157" w:rsidP="00030157">
      <w:pPr>
        <w:widowControl w:val="0"/>
        <w:tabs>
          <w:tab w:val="center" w:pos="590"/>
          <w:tab w:val="center" w:pos="1440"/>
          <w:tab w:val="left" w:pos="1872"/>
          <w:tab w:val="left" w:pos="9187"/>
        </w:tabs>
        <w:rPr>
          <w:rFonts w:cs="Times New Roman"/>
        </w:rPr>
      </w:pPr>
      <w:r w:rsidRPr="00030157">
        <w:rPr>
          <w:rFonts w:cs="Times New Roman"/>
          <w:u w:val="single"/>
        </w:rPr>
        <w:tab/>
        <w:t>Date</w:t>
      </w:r>
      <w:r w:rsidRPr="00030157">
        <w:rPr>
          <w:rFonts w:cs="Times New Roman"/>
          <w:u w:val="single"/>
        </w:rPr>
        <w:tab/>
        <w:t>Body</w:t>
      </w:r>
      <w:r w:rsidRPr="00030157">
        <w:rPr>
          <w:rFonts w:cs="Times New Roman"/>
          <w:u w:val="single"/>
        </w:rPr>
        <w:tab/>
        <w:t>Action Description with journal page number</w:t>
      </w:r>
      <w:r w:rsidRPr="00030157">
        <w:rPr>
          <w:rFonts w:cs="Times New Roman"/>
          <w:u w:val="single"/>
        </w:rPr>
        <w:tab/>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E754D9">
        <w:rPr>
          <w:rFonts w:cs="Times New Roman"/>
        </w:rPr>
        <w:t>Prefiled</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E754D9">
        <w:rPr>
          <w:rFonts w:cs="Times New Roman"/>
        </w:rPr>
        <w:t xml:space="preserve">Referred to Committee on </w:t>
      </w:r>
      <w:r w:rsidRPr="00E754D9">
        <w:rPr>
          <w:rFonts w:cs="Times New Roman"/>
          <w:b/>
        </w:rPr>
        <w:t>Judiciary</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E754D9">
        <w:rPr>
          <w:rFonts w:cs="Times New Roman"/>
        </w:rPr>
        <w:t>(</w:t>
      </w:r>
      <w:hyperlink r:id="rId6" w:history="1">
        <w:r w:rsidRPr="00205FE7">
          <w:rPr>
            <w:rStyle w:val="Hyperlink"/>
            <w:rFonts w:cs="Times New Roman"/>
          </w:rPr>
          <w:t>Senate Journal</w:t>
        </w:r>
        <w:r w:rsidRPr="00205FE7">
          <w:rPr>
            <w:rStyle w:val="Hyperlink"/>
            <w:rFonts w:cs="Times New Roman"/>
          </w:rPr>
          <w:noBreakHyphen/>
          <w:t>page 145</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E754D9">
        <w:rPr>
          <w:rFonts w:cs="Times New Roman"/>
        </w:rPr>
        <w:t>Ref</w:t>
      </w:r>
      <w:r>
        <w:rPr>
          <w:rFonts w:cs="Times New Roman"/>
        </w:rPr>
        <w:t xml:space="preserve">erred to Committee on </w:t>
      </w:r>
      <w:r w:rsidRPr="00E754D9">
        <w:rPr>
          <w:rFonts w:cs="Times New Roman"/>
          <w:b/>
        </w:rPr>
        <w:t>Judiciary</w:t>
      </w:r>
      <w:r>
        <w:rPr>
          <w:rFonts w:cs="Times New Roman"/>
        </w:rPr>
        <w:t xml:space="preserve"> </w:t>
      </w:r>
      <w:r w:rsidRPr="00E754D9">
        <w:rPr>
          <w:rFonts w:cs="Times New Roman"/>
        </w:rPr>
        <w:t>(</w:t>
      </w:r>
      <w:hyperlink r:id="rId7" w:history="1">
        <w:r w:rsidRPr="00205FE7">
          <w:rPr>
            <w:rStyle w:val="Hyperlink"/>
            <w:rFonts w:cs="Times New Roman"/>
          </w:rPr>
          <w:t>Senate Journal</w:t>
        </w:r>
        <w:r w:rsidRPr="00205FE7">
          <w:rPr>
            <w:rStyle w:val="Hyperlink"/>
            <w:rFonts w:cs="Times New Roman"/>
          </w:rPr>
          <w:noBreakHyphen/>
          <w:t>page 145</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2/5/2016</w:t>
      </w:r>
      <w:r>
        <w:rPr>
          <w:rFonts w:cs="Times New Roman"/>
        </w:rPr>
        <w:tab/>
        <w:t>Senate</w:t>
      </w:r>
      <w:r>
        <w:rPr>
          <w:rFonts w:cs="Times New Roman"/>
        </w:rPr>
        <w:tab/>
      </w:r>
      <w:r w:rsidRPr="00E754D9">
        <w:rPr>
          <w:rFonts w:cs="Times New Roman"/>
        </w:rPr>
        <w:t>Referred to Subco</w:t>
      </w:r>
      <w:r>
        <w:rPr>
          <w:rFonts w:cs="Times New Roman"/>
        </w:rPr>
        <w:t xml:space="preserve">mmittee: Campsen (ch), Hembree, </w:t>
      </w:r>
      <w:r w:rsidRPr="00E754D9">
        <w:rPr>
          <w:rFonts w:cs="Times New Roman"/>
        </w:rPr>
        <w:t>McElveen</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2/22/2016</w:t>
      </w:r>
      <w:r>
        <w:rPr>
          <w:rFonts w:cs="Times New Roman"/>
        </w:rPr>
        <w:tab/>
      </w:r>
      <w:r>
        <w:rPr>
          <w:rFonts w:cs="Times New Roman"/>
        </w:rPr>
        <w:tab/>
      </w:r>
      <w:r w:rsidRPr="00E754D9">
        <w:rPr>
          <w:rFonts w:cs="Times New Roman"/>
        </w:rPr>
        <w:t>Scrivener's error corrected</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E754D9">
        <w:rPr>
          <w:rFonts w:cs="Times New Roman"/>
        </w:rPr>
        <w:t>Committee r</w:t>
      </w:r>
      <w:r>
        <w:rPr>
          <w:rFonts w:cs="Times New Roman"/>
        </w:rPr>
        <w:t xml:space="preserve">eport: Favorable with amendment </w:t>
      </w:r>
      <w:r w:rsidRPr="00E754D9">
        <w:rPr>
          <w:rFonts w:cs="Times New Roman"/>
          <w:b/>
        </w:rPr>
        <w:t>Judiciary</w:t>
      </w:r>
      <w:r w:rsidRPr="00E754D9">
        <w:rPr>
          <w:rFonts w:cs="Times New Roman"/>
        </w:rPr>
        <w:t xml:space="preserve"> (</w:t>
      </w:r>
      <w:hyperlink r:id="rId8" w:history="1">
        <w:r w:rsidRPr="00205FE7">
          <w:rPr>
            <w:rStyle w:val="Hyperlink"/>
            <w:rFonts w:cs="Times New Roman"/>
          </w:rPr>
          <w:t>Senate Journal</w:t>
        </w:r>
        <w:r w:rsidRPr="00205FE7">
          <w:rPr>
            <w:rStyle w:val="Hyperlink"/>
            <w:rFonts w:cs="Times New Roman"/>
          </w:rPr>
          <w:noBreakHyphen/>
          <w:t>page 7</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3/24/2016</w:t>
      </w:r>
      <w:r>
        <w:rPr>
          <w:rFonts w:cs="Times New Roman"/>
        </w:rPr>
        <w:tab/>
      </w:r>
      <w:r>
        <w:rPr>
          <w:rFonts w:cs="Times New Roman"/>
        </w:rPr>
        <w:tab/>
      </w:r>
      <w:r w:rsidRPr="00E754D9">
        <w:rPr>
          <w:rFonts w:cs="Times New Roman"/>
        </w:rPr>
        <w:t>Scrivener's error corrected</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4/5/2016</w:t>
      </w:r>
      <w:r>
        <w:rPr>
          <w:rFonts w:cs="Times New Roman"/>
        </w:rPr>
        <w:tab/>
        <w:t>Senate</w:t>
      </w:r>
      <w:r>
        <w:rPr>
          <w:rFonts w:cs="Times New Roman"/>
        </w:rPr>
        <w:tab/>
      </w:r>
      <w:r w:rsidRPr="00E754D9">
        <w:rPr>
          <w:rFonts w:cs="Times New Roman"/>
        </w:rPr>
        <w:t>Committee Amendment Adopted (</w:t>
      </w:r>
      <w:hyperlink r:id="rId9" w:history="1">
        <w:r w:rsidRPr="00205FE7">
          <w:rPr>
            <w:rStyle w:val="Hyperlink"/>
            <w:rFonts w:cs="Times New Roman"/>
          </w:rPr>
          <w:t>Senate Journal</w:t>
        </w:r>
        <w:r w:rsidRPr="00205FE7">
          <w:rPr>
            <w:rStyle w:val="Hyperlink"/>
            <w:rFonts w:cs="Times New Roman"/>
          </w:rPr>
          <w:noBreakHyphen/>
          <w:t>page 30</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4/5/2016</w:t>
      </w:r>
      <w:r>
        <w:rPr>
          <w:rFonts w:cs="Times New Roman"/>
        </w:rPr>
        <w:tab/>
        <w:t>Senate</w:t>
      </w:r>
      <w:r>
        <w:rPr>
          <w:rFonts w:cs="Times New Roman"/>
        </w:rPr>
        <w:tab/>
      </w:r>
      <w:r w:rsidRPr="00E754D9">
        <w:rPr>
          <w:rFonts w:cs="Times New Roman"/>
        </w:rPr>
        <w:t>Read second time (</w:t>
      </w:r>
      <w:hyperlink r:id="rId10" w:history="1">
        <w:r w:rsidRPr="00205FE7">
          <w:rPr>
            <w:rStyle w:val="Hyperlink"/>
            <w:rFonts w:cs="Times New Roman"/>
          </w:rPr>
          <w:t>Senate Journal</w:t>
        </w:r>
        <w:r w:rsidRPr="00205FE7">
          <w:rPr>
            <w:rStyle w:val="Hyperlink"/>
            <w:rFonts w:cs="Times New Roman"/>
          </w:rPr>
          <w:noBreakHyphen/>
          <w:t>page 30</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4/5/2016</w:t>
      </w:r>
      <w:r>
        <w:rPr>
          <w:rFonts w:cs="Times New Roman"/>
        </w:rPr>
        <w:tab/>
        <w:t>Senate</w:t>
      </w:r>
      <w:r>
        <w:rPr>
          <w:rFonts w:cs="Times New Roman"/>
        </w:rPr>
        <w:tab/>
      </w:r>
      <w:r w:rsidRPr="00E754D9">
        <w:rPr>
          <w:rFonts w:cs="Times New Roman"/>
        </w:rPr>
        <w:t>Roll call Ayes</w:t>
      </w:r>
      <w:r>
        <w:rPr>
          <w:rFonts w:cs="Times New Roman"/>
        </w:rPr>
        <w:noBreakHyphen/>
      </w:r>
      <w:r w:rsidRPr="00E754D9">
        <w:rPr>
          <w:rFonts w:cs="Times New Roman"/>
        </w:rPr>
        <w:t>39  Nays</w:t>
      </w:r>
      <w:r>
        <w:rPr>
          <w:rFonts w:cs="Times New Roman"/>
        </w:rPr>
        <w:noBreakHyphen/>
      </w:r>
      <w:r w:rsidRPr="00E754D9">
        <w:rPr>
          <w:rFonts w:cs="Times New Roman"/>
        </w:rPr>
        <w:t>0 (</w:t>
      </w:r>
      <w:hyperlink r:id="rId11" w:history="1">
        <w:r w:rsidRPr="00205FE7">
          <w:rPr>
            <w:rStyle w:val="Hyperlink"/>
            <w:rFonts w:cs="Times New Roman"/>
          </w:rPr>
          <w:t>Senate Journal</w:t>
        </w:r>
        <w:r w:rsidRPr="00205FE7">
          <w:rPr>
            <w:rStyle w:val="Hyperlink"/>
            <w:rFonts w:cs="Times New Roman"/>
          </w:rPr>
          <w:noBreakHyphen/>
          <w:t>page 30</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r>
      <w:r>
        <w:rPr>
          <w:rFonts w:cs="Times New Roman"/>
        </w:rPr>
        <w:tab/>
      </w:r>
      <w:r w:rsidRPr="00E754D9">
        <w:rPr>
          <w:rFonts w:cs="Times New Roman"/>
        </w:rPr>
        <w:t>Scrivener's error corrected</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E754D9">
        <w:rPr>
          <w:rFonts w:cs="Times New Roman"/>
        </w:rPr>
        <w:t>Re</w:t>
      </w:r>
      <w:r>
        <w:rPr>
          <w:rFonts w:cs="Times New Roman"/>
        </w:rPr>
        <w:t xml:space="preserve">ad third time and sent to House </w:t>
      </w:r>
      <w:r w:rsidRPr="00E754D9">
        <w:rPr>
          <w:rFonts w:cs="Times New Roman"/>
        </w:rPr>
        <w:t>(</w:t>
      </w:r>
      <w:hyperlink r:id="rId12" w:history="1">
        <w:r w:rsidRPr="00205FE7">
          <w:rPr>
            <w:rStyle w:val="Hyperlink"/>
            <w:rFonts w:cs="Times New Roman"/>
          </w:rPr>
          <w:t>Senate Journal</w:t>
        </w:r>
        <w:r w:rsidRPr="00205FE7">
          <w:rPr>
            <w:rStyle w:val="Hyperlink"/>
            <w:rFonts w:cs="Times New Roman"/>
          </w:rPr>
          <w:noBreakHyphen/>
          <w:t>page 12</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E754D9">
        <w:rPr>
          <w:rFonts w:cs="Times New Roman"/>
        </w:rPr>
        <w:t>Introduced and read first time (</w:t>
      </w:r>
      <w:hyperlink r:id="rId13" w:history="1">
        <w:r w:rsidRPr="00205FE7">
          <w:rPr>
            <w:rStyle w:val="Hyperlink"/>
            <w:rFonts w:cs="Times New Roman"/>
          </w:rPr>
          <w:t>House Journal</w:t>
        </w:r>
        <w:r w:rsidRPr="00205FE7">
          <w:rPr>
            <w:rStyle w:val="Hyperlink"/>
            <w:rFonts w:cs="Times New Roman"/>
          </w:rPr>
          <w:noBreakHyphen/>
          <w:t>page 10</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E754D9">
        <w:rPr>
          <w:rFonts w:cs="Times New Roman"/>
        </w:rPr>
        <w:t>Referred to Co</w:t>
      </w:r>
      <w:r>
        <w:rPr>
          <w:rFonts w:cs="Times New Roman"/>
        </w:rPr>
        <w:t xml:space="preserve">mmittee on </w:t>
      </w:r>
      <w:r w:rsidRPr="00E754D9">
        <w:rPr>
          <w:rFonts w:cs="Times New Roman"/>
          <w:b/>
        </w:rPr>
        <w:t>Education and Public Works</w:t>
      </w:r>
      <w:r w:rsidRPr="00E754D9">
        <w:rPr>
          <w:rFonts w:cs="Times New Roman"/>
        </w:rPr>
        <w:t xml:space="preserve"> (</w:t>
      </w:r>
      <w:hyperlink r:id="rId14" w:history="1">
        <w:r w:rsidRPr="00205FE7">
          <w:rPr>
            <w:rStyle w:val="Hyperlink"/>
            <w:rFonts w:cs="Times New Roman"/>
          </w:rPr>
          <w:t>House Journal</w:t>
        </w:r>
        <w:r w:rsidRPr="00205FE7">
          <w:rPr>
            <w:rStyle w:val="Hyperlink"/>
            <w:rFonts w:cs="Times New Roman"/>
          </w:rPr>
          <w:noBreakHyphen/>
          <w:t>page 10</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E754D9">
        <w:rPr>
          <w:rFonts w:cs="Times New Roman"/>
        </w:rPr>
        <w:t>Recalled from Co</w:t>
      </w:r>
      <w:r>
        <w:rPr>
          <w:rFonts w:cs="Times New Roman"/>
        </w:rPr>
        <w:t xml:space="preserve">mmittee on </w:t>
      </w:r>
      <w:r w:rsidRPr="00E754D9">
        <w:rPr>
          <w:rFonts w:cs="Times New Roman"/>
          <w:b/>
        </w:rPr>
        <w:t>Education and Public Works</w:t>
      </w:r>
      <w:r w:rsidRPr="00E754D9">
        <w:rPr>
          <w:rFonts w:cs="Times New Roman"/>
        </w:rPr>
        <w:t xml:space="preserve"> (</w:t>
      </w:r>
      <w:hyperlink r:id="rId15" w:history="1">
        <w:r w:rsidRPr="00205FE7">
          <w:rPr>
            <w:rStyle w:val="Hyperlink"/>
            <w:rFonts w:cs="Times New Roman"/>
          </w:rPr>
          <w:t>House Journal</w:t>
        </w:r>
        <w:r w:rsidRPr="00205FE7">
          <w:rPr>
            <w:rStyle w:val="Hyperlink"/>
            <w:rFonts w:cs="Times New Roman"/>
          </w:rPr>
          <w:noBreakHyphen/>
          <w:t>page 343</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E754D9">
        <w:rPr>
          <w:rFonts w:cs="Times New Roman"/>
        </w:rPr>
        <w:t>Comm</w:t>
      </w:r>
      <w:r>
        <w:rPr>
          <w:rFonts w:cs="Times New Roman"/>
        </w:rPr>
        <w:t xml:space="preserve">itted to Committee on </w:t>
      </w:r>
      <w:r w:rsidRPr="00E754D9">
        <w:rPr>
          <w:rFonts w:cs="Times New Roman"/>
          <w:b/>
        </w:rPr>
        <w:t>Judiciary</w:t>
      </w:r>
      <w:r>
        <w:rPr>
          <w:rFonts w:cs="Times New Roman"/>
        </w:rPr>
        <w:t xml:space="preserve"> </w:t>
      </w:r>
      <w:r w:rsidRPr="00E754D9">
        <w:rPr>
          <w:rFonts w:cs="Times New Roman"/>
        </w:rPr>
        <w:t>(</w:t>
      </w:r>
      <w:hyperlink r:id="rId16" w:history="1">
        <w:r w:rsidRPr="00205FE7">
          <w:rPr>
            <w:rStyle w:val="Hyperlink"/>
            <w:rFonts w:cs="Times New Roman"/>
          </w:rPr>
          <w:t>House Journal</w:t>
        </w:r>
        <w:r w:rsidRPr="00205FE7">
          <w:rPr>
            <w:rStyle w:val="Hyperlink"/>
            <w:rFonts w:cs="Times New Roman"/>
          </w:rPr>
          <w:noBreakHyphen/>
          <w:t>page 343</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E754D9">
        <w:rPr>
          <w:rFonts w:cs="Times New Roman"/>
        </w:rPr>
        <w:t>Commit</w:t>
      </w:r>
      <w:r>
        <w:rPr>
          <w:rFonts w:cs="Times New Roman"/>
        </w:rPr>
        <w:t xml:space="preserve">tee report: Favorable </w:t>
      </w:r>
      <w:r w:rsidRPr="00E754D9">
        <w:rPr>
          <w:rFonts w:cs="Times New Roman"/>
          <w:b/>
        </w:rPr>
        <w:t>Judiciary</w:t>
      </w:r>
      <w:r>
        <w:rPr>
          <w:rFonts w:cs="Times New Roman"/>
        </w:rPr>
        <w:t xml:space="preserve"> </w:t>
      </w:r>
      <w:r w:rsidRPr="00E754D9">
        <w:rPr>
          <w:rFonts w:cs="Times New Roman"/>
        </w:rPr>
        <w:t>(</w:t>
      </w:r>
      <w:hyperlink r:id="rId17" w:history="1">
        <w:r w:rsidRPr="00205FE7">
          <w:rPr>
            <w:rStyle w:val="Hyperlink"/>
            <w:rFonts w:cs="Times New Roman"/>
          </w:rPr>
          <w:t>House Journal</w:t>
        </w:r>
        <w:r w:rsidRPr="00205FE7">
          <w:rPr>
            <w:rStyle w:val="Hyperlink"/>
            <w:rFonts w:cs="Times New Roman"/>
          </w:rPr>
          <w:noBreakHyphen/>
          <w:t>page 8</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E754D9">
        <w:rPr>
          <w:rFonts w:cs="Times New Roman"/>
        </w:rPr>
        <w:t>Read second time (</w:t>
      </w:r>
      <w:hyperlink r:id="rId18" w:history="1">
        <w:r w:rsidRPr="00205FE7">
          <w:rPr>
            <w:rStyle w:val="Hyperlink"/>
            <w:rFonts w:cs="Times New Roman"/>
          </w:rPr>
          <w:t>House Journal</w:t>
        </w:r>
        <w:r w:rsidRPr="00205FE7">
          <w:rPr>
            <w:rStyle w:val="Hyperlink"/>
            <w:rFonts w:cs="Times New Roman"/>
          </w:rPr>
          <w:noBreakHyphen/>
          <w:t>page 11</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E754D9">
        <w:rPr>
          <w:rFonts w:cs="Times New Roman"/>
        </w:rPr>
        <w:t>Roll call Yeas</w:t>
      </w:r>
      <w:r>
        <w:rPr>
          <w:rFonts w:cs="Times New Roman"/>
        </w:rPr>
        <w:noBreakHyphen/>
      </w:r>
      <w:r w:rsidRPr="00E754D9">
        <w:rPr>
          <w:rFonts w:cs="Times New Roman"/>
        </w:rPr>
        <w:t>107  Nays</w:t>
      </w:r>
      <w:r>
        <w:rPr>
          <w:rFonts w:cs="Times New Roman"/>
        </w:rPr>
        <w:noBreakHyphen/>
      </w:r>
      <w:r w:rsidRPr="00E754D9">
        <w:rPr>
          <w:rFonts w:cs="Times New Roman"/>
        </w:rPr>
        <w:t>0 (</w:t>
      </w:r>
      <w:hyperlink r:id="rId19" w:history="1">
        <w:r w:rsidRPr="00205FE7">
          <w:rPr>
            <w:rStyle w:val="Hyperlink"/>
            <w:rFonts w:cs="Times New Roman"/>
          </w:rPr>
          <w:t>House Journal</w:t>
        </w:r>
        <w:r w:rsidRPr="00205FE7">
          <w:rPr>
            <w:rStyle w:val="Hyperlink"/>
            <w:rFonts w:cs="Times New Roman"/>
          </w:rPr>
          <w:noBreakHyphen/>
          <w:t>page 12</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E754D9">
        <w:rPr>
          <w:rFonts w:cs="Times New Roman"/>
        </w:rPr>
        <w:t>Read third time and enrolled (</w:t>
      </w:r>
      <w:hyperlink r:id="rId20" w:history="1">
        <w:r w:rsidRPr="00205FE7">
          <w:rPr>
            <w:rStyle w:val="Hyperlink"/>
            <w:rFonts w:cs="Times New Roman"/>
          </w:rPr>
          <w:t>House Journal</w:t>
        </w:r>
        <w:r w:rsidRPr="00205FE7">
          <w:rPr>
            <w:rStyle w:val="Hyperlink"/>
            <w:rFonts w:cs="Times New Roman"/>
          </w:rPr>
          <w:noBreakHyphen/>
          <w:t>page 6</w:t>
        </w:r>
      </w:hyperlink>
      <w:r w:rsidRPr="00E754D9">
        <w:rPr>
          <w:rFonts w:cs="Times New Roman"/>
        </w:rPr>
        <w:t>)</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E754D9">
        <w:rPr>
          <w:rFonts w:cs="Times New Roman"/>
        </w:rPr>
        <w:t>Ratified R 213</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E754D9">
        <w:rPr>
          <w:rFonts w:cs="Times New Roman"/>
        </w:rPr>
        <w:t>Signed By Governor</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E754D9">
        <w:rPr>
          <w:rFonts w:cs="Times New Roman"/>
        </w:rPr>
        <w:t>Effective date 06/03/16</w:t>
      </w:r>
    </w:p>
    <w:p w:rsidR="00B034DC" w:rsidRDefault="00B034DC" w:rsidP="00B034DC">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E754D9">
        <w:rPr>
          <w:rFonts w:cs="Times New Roman"/>
        </w:rPr>
        <w:t>Act No</w:t>
      </w:r>
      <w:r>
        <w:rPr>
          <w:rFonts w:cs="Times New Roman"/>
        </w:rPr>
        <w:t>. </w:t>
      </w:r>
      <w:r w:rsidRPr="00E754D9">
        <w:rPr>
          <w:rFonts w:cs="Times New Roman"/>
        </w:rPr>
        <w:t>198</w:t>
      </w:r>
    </w:p>
    <w:p w:rsidR="00B034DC" w:rsidRDefault="00B034DC" w:rsidP="00B034DC">
      <w:pPr>
        <w:widowControl w:val="0"/>
        <w:tabs>
          <w:tab w:val="right" w:pos="1008"/>
          <w:tab w:val="left" w:pos="1152"/>
          <w:tab w:val="left" w:pos="1872"/>
          <w:tab w:val="left" w:pos="9187"/>
        </w:tabs>
        <w:ind w:left="2088" w:hanging="2088"/>
        <w:rPr>
          <w:rFonts w:cs="Times New Roman"/>
        </w:rPr>
      </w:pPr>
    </w:p>
    <w:p w:rsidR="00030157" w:rsidRPr="00030157" w:rsidRDefault="00030157" w:rsidP="00030157">
      <w:pPr>
        <w:widowControl w:val="0"/>
        <w:tabs>
          <w:tab w:val="right" w:pos="1008"/>
          <w:tab w:val="left" w:pos="1152"/>
          <w:tab w:val="left" w:pos="1872"/>
          <w:tab w:val="left" w:pos="9187"/>
        </w:tabs>
        <w:ind w:left="2088" w:hanging="2088"/>
        <w:rPr>
          <w:rFonts w:cs="Times New Roman"/>
        </w:rPr>
      </w:pPr>
      <w:r w:rsidRPr="00030157">
        <w:rPr>
          <w:rFonts w:cs="Times New Roman"/>
        </w:rPr>
        <w:t xml:space="preserve">View the latest </w:t>
      </w:r>
      <w:hyperlink r:id="rId21" w:history="1">
        <w:r w:rsidRPr="00030157">
          <w:rPr>
            <w:rFonts w:cs="Times New Roman"/>
            <w:color w:val="0000FF" w:themeColor="hyperlink"/>
            <w:u w:val="single"/>
          </w:rPr>
          <w:t>legislative information</w:t>
        </w:r>
      </w:hyperlink>
      <w:r w:rsidRPr="00030157">
        <w:rPr>
          <w:rFonts w:cs="Times New Roman"/>
        </w:rPr>
        <w:t xml:space="preserve"> at the website</w:t>
      </w:r>
    </w:p>
    <w:p w:rsidR="00030157" w:rsidRPr="00030157" w:rsidRDefault="00030157" w:rsidP="00030157">
      <w:pPr>
        <w:widowControl w:val="0"/>
        <w:tabs>
          <w:tab w:val="right" w:pos="1008"/>
          <w:tab w:val="left" w:pos="1152"/>
          <w:tab w:val="left" w:pos="1872"/>
          <w:tab w:val="left" w:pos="9187"/>
        </w:tabs>
        <w:ind w:left="2088" w:hanging="2088"/>
        <w:rPr>
          <w:rFonts w:cs="Times New Roman"/>
        </w:rPr>
      </w:pPr>
    </w:p>
    <w:p w:rsidR="00030157" w:rsidRPr="00030157" w:rsidRDefault="00030157" w:rsidP="00030157">
      <w:pPr>
        <w:widowControl w:val="0"/>
        <w:tabs>
          <w:tab w:val="right" w:pos="1008"/>
          <w:tab w:val="left" w:pos="1152"/>
          <w:tab w:val="left" w:pos="1872"/>
          <w:tab w:val="left" w:pos="9187"/>
        </w:tabs>
        <w:ind w:left="2088" w:hanging="2088"/>
        <w:rPr>
          <w:rFonts w:cs="Times New Roman"/>
        </w:rPr>
      </w:pP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0157">
        <w:rPr>
          <w:rFonts w:cs="Times New Roman"/>
          <w:b/>
        </w:rPr>
        <w:t>VERSIONS OF THIS BILL</w:t>
      </w:r>
    </w:p>
    <w:p w:rsidR="00030157" w:rsidRPr="00030157" w:rsidRDefault="0003015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0157" w:rsidRPr="00030157" w:rsidRDefault="00205FE7" w:rsidP="0003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030157" w:rsidRPr="00030157">
          <w:rPr>
            <w:rFonts w:cs="Times New Roman"/>
            <w:color w:val="0000FF" w:themeColor="hyperlink"/>
            <w:u w:val="single"/>
          </w:rPr>
          <w:t>12/10/2014</w:t>
        </w:r>
      </w:hyperlink>
    </w:p>
    <w:p w:rsidR="00030157" w:rsidRPr="00030157" w:rsidRDefault="00205FE7" w:rsidP="00030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030157" w:rsidRPr="00030157">
          <w:rPr>
            <w:rFonts w:cs="Times New Roman"/>
            <w:color w:val="0000FF" w:themeColor="hyperlink"/>
            <w:u w:val="single"/>
          </w:rPr>
          <w:t>2/22/2016</w:t>
        </w:r>
      </w:hyperlink>
    </w:p>
    <w:p w:rsidR="00030157" w:rsidRPr="00030157" w:rsidRDefault="00205FE7" w:rsidP="00030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030157" w:rsidRPr="00030157">
          <w:rPr>
            <w:rFonts w:cs="Times New Roman"/>
            <w:color w:val="0000FF" w:themeColor="hyperlink"/>
            <w:u w:val="single"/>
          </w:rPr>
          <w:t>3/23/2016</w:t>
        </w:r>
      </w:hyperlink>
    </w:p>
    <w:p w:rsidR="00030157" w:rsidRPr="00030157" w:rsidRDefault="00205FE7" w:rsidP="00030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30157" w:rsidRPr="00030157">
          <w:rPr>
            <w:rFonts w:cs="Times New Roman"/>
            <w:color w:val="0000FF" w:themeColor="hyperlink"/>
            <w:u w:val="single"/>
          </w:rPr>
          <w:t>3/24/2016</w:t>
        </w:r>
      </w:hyperlink>
    </w:p>
    <w:p w:rsidR="00030157" w:rsidRPr="00030157" w:rsidRDefault="00205FE7" w:rsidP="00030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030157" w:rsidRPr="00030157">
          <w:rPr>
            <w:rFonts w:cs="Times New Roman"/>
            <w:color w:val="0000FF" w:themeColor="hyperlink"/>
            <w:u w:val="single"/>
          </w:rPr>
          <w:t>4/5/2016</w:t>
        </w:r>
      </w:hyperlink>
    </w:p>
    <w:p w:rsidR="00030157" w:rsidRPr="00030157" w:rsidRDefault="00205FE7" w:rsidP="00030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030157" w:rsidRPr="00030157">
          <w:rPr>
            <w:rFonts w:cs="Times New Roman"/>
            <w:color w:val="0000FF" w:themeColor="hyperlink"/>
            <w:u w:val="single"/>
          </w:rPr>
          <w:t>4/6/2016</w:t>
        </w:r>
      </w:hyperlink>
    </w:p>
    <w:p w:rsidR="00030157" w:rsidRPr="00030157" w:rsidRDefault="00205FE7" w:rsidP="00030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030157" w:rsidRPr="00030157">
          <w:rPr>
            <w:rFonts w:cs="Times New Roman"/>
            <w:color w:val="0000FF" w:themeColor="hyperlink"/>
            <w:u w:val="single"/>
          </w:rPr>
          <w:t>5/24/2016</w:t>
        </w:r>
      </w:hyperlink>
    </w:p>
    <w:p w:rsidR="00030157" w:rsidRPr="00030157" w:rsidRDefault="00030157" w:rsidP="00030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0157" w:rsidRDefault="00030157" w:rsidP="00030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30157" w:rsidSect="00030157">
          <w:pgSz w:w="12240" w:h="15840" w:code="1"/>
          <w:pgMar w:top="1080" w:right="1440" w:bottom="1080" w:left="1440" w:header="720" w:footer="720" w:gutter="0"/>
          <w:pgNumType w:start="1"/>
          <w:cols w:space="720"/>
          <w:noEndnote/>
          <w:docGrid w:linePitch="360"/>
        </w:sectPr>
      </w:pPr>
    </w:p>
    <w:p w:rsidR="00DC4E75"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(A198, R213, S233)</w:t>
      </w:r>
    </w:p>
    <w:p w:rsidR="00DC4E75" w:rsidRPr="008836A5"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4E75" w:rsidRPr="00030157"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30157">
        <w:rPr>
          <w:rFonts w:cs="Times New Roman"/>
          <w:b/>
          <w:color w:val="000000" w:themeColor="text1"/>
          <w:szCs w:val="36"/>
        </w:rPr>
        <w:t xml:space="preserve">AN ACT </w:t>
      </w:r>
      <w:r w:rsidRPr="00030157">
        <w:rPr>
          <w:rFonts w:eastAsia="Times New Roman" w:cs="Times New Roman"/>
          <w:b/>
        </w:rPr>
        <w:t xml:space="preserve">TO AMEND </w:t>
      </w:r>
      <w:r w:rsidRPr="00030157">
        <w:rPr>
          <w:rFonts w:cs="Times New Roman"/>
          <w:b/>
          <w:color w:val="000000" w:themeColor="text1"/>
          <w:u w:color="000000" w:themeColor="text1"/>
        </w:rPr>
        <w:t>SECTION 6</w:t>
      </w:r>
      <w:r w:rsidRPr="00030157">
        <w:rPr>
          <w:rFonts w:cs="Times New Roman"/>
          <w:b/>
          <w:color w:val="000000" w:themeColor="text1"/>
          <w:u w:color="000000" w:themeColor="text1"/>
        </w:rPr>
        <w:noBreakHyphen/>
        <w:t>1</w:t>
      </w:r>
      <w:r w:rsidRPr="00030157">
        <w:rPr>
          <w:rFonts w:cs="Times New Roman"/>
          <w:b/>
          <w:color w:val="000000" w:themeColor="text1"/>
          <w:u w:color="000000" w:themeColor="text1"/>
        </w:rPr>
        <w:noBreakHyphen/>
        <w:t>160, CODE OF LAWS OF SOUTH CAROLINA</w:t>
      </w:r>
      <w:r w:rsidRPr="00030157">
        <w:rPr>
          <w:rFonts w:eastAsia="Times New Roman" w:cs="Times New Roman"/>
          <w:b/>
        </w:rPr>
        <w:t>, 1976, RELATING TO INVOCATIONS TO OPEN MEETINGS OF DELIBERATIVE BODIES, SO AS TO PROVIDE THAT PUBLIC PRAYER MEANS A PRAYER OR INVOCATION; TO PROVIDE THAT DELIBERATIVE PUBLIC BODY INCLUDES A SCHOOL DISTRICT BOARD; TO PROVIDE THAT PUBLIC INVOCATIONS MAY NOT PROSELYTIZE OR ADVANCE ANY ONE FAITH OR BELIEF, OR COERCE PARTICIPATION BY OBSERVERS; AND TO BROADEN THE ITEMS THAT MAY BE INCLUDED IN A POLICY TO PERMIT PUBLIC INVOCATIONS ADOPTED BY THE PUBLIC BODY.</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26470">
        <w:rPr>
          <w:rFonts w:cs="Times New Roman"/>
          <w:color w:val="000000" w:themeColor="text1"/>
          <w:u w:color="000000" w:themeColor="text1"/>
        </w:rPr>
        <w:t>Whereas, state and local governing bodies across the nation have long maintained a tradition of solemnizing their proceedings by allowing for an opening invocation before each meeting for the benefit and blessing of those public bodies; and</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026470">
        <w:rPr>
          <w:color w:val="000000" w:themeColor="text1"/>
          <w:sz w:val="22"/>
          <w:szCs w:val="22"/>
          <w:u w:color="000000" w:themeColor="text1"/>
        </w:rPr>
        <w:t>Whereas, such invocations before deliberative public bodies have been consistently upheld as constitutional by American courts, including the United States Supreme Court and the United States Court of Appeals for the Fourth Circuit; and</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26470">
        <w:rPr>
          <w:rFonts w:cs="Times New Roman"/>
          <w:color w:val="000000" w:themeColor="text1"/>
          <w:u w:color="000000" w:themeColor="text1"/>
        </w:rPr>
        <w:t xml:space="preserve">Whereas, in </w:t>
      </w:r>
      <w:r w:rsidRPr="00026470">
        <w:rPr>
          <w:rFonts w:cs="Times New Roman"/>
          <w:i/>
          <w:iCs/>
          <w:color w:val="000000" w:themeColor="text1"/>
          <w:u w:color="000000" w:themeColor="text1"/>
        </w:rPr>
        <w:t>Marsh v. Chambers</w:t>
      </w:r>
      <w:r w:rsidRPr="00026470">
        <w:rPr>
          <w:rFonts w:cs="Times New Roman"/>
          <w:color w:val="000000" w:themeColor="text1"/>
          <w:u w:color="000000" w:themeColor="text1"/>
        </w:rPr>
        <w:t>, 463 U.S. 783, 786 (1983), the United States Supreme Court rejected a challenge to the Nebraska Legislature’s practice of opening each day of its sessions with a prayer by a chaplain paid with taxpayer dollars, and specifically concluded, “The opening of sessions of legislative and other deliberative public bodies with prayer is deeply embedded in the history and tradition of this country. From colonial times through the founding of the Republic and ever since, the practice of legislative prayer has coexisted with the principles of disestablishment and religious freedom”; and</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026470">
        <w:rPr>
          <w:color w:val="000000" w:themeColor="text1"/>
          <w:sz w:val="22"/>
          <w:szCs w:val="22"/>
          <w:u w:color="000000" w:themeColor="text1"/>
        </w:rPr>
        <w:t xml:space="preserve">Whereas, the United States Supreme Court clarified in </w:t>
      </w:r>
      <w:r w:rsidRPr="00026470">
        <w:rPr>
          <w:i/>
          <w:iCs/>
          <w:color w:val="000000" w:themeColor="text1"/>
          <w:sz w:val="22"/>
          <w:szCs w:val="22"/>
          <w:u w:color="000000" w:themeColor="text1"/>
        </w:rPr>
        <w:t>Marsh</w:t>
      </w:r>
      <w:r w:rsidRPr="00026470">
        <w:rPr>
          <w:color w:val="000000" w:themeColor="text1"/>
          <w:sz w:val="22"/>
          <w:szCs w:val="22"/>
          <w:u w:color="000000" w:themeColor="text1"/>
        </w:rPr>
        <w:t>, 463 U.S. at 794</w:t>
      </w:r>
      <w:r w:rsidRPr="00026470">
        <w:rPr>
          <w:color w:val="000000" w:themeColor="text1"/>
          <w:sz w:val="22"/>
          <w:szCs w:val="22"/>
          <w:u w:color="000000" w:themeColor="text1"/>
        </w:rPr>
        <w:noBreakHyphen/>
        <w:t>795, “The content of [such] prayer is not of concern to judges where . . . there is no indication that the prayer opportunity has been exploited to proselytize or advance any one, or to disparage any other, faith or belief”; and</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026470">
        <w:rPr>
          <w:color w:val="000000" w:themeColor="text1"/>
          <w:sz w:val="22"/>
          <w:szCs w:val="22"/>
          <w:u w:color="000000" w:themeColor="text1"/>
        </w:rPr>
        <w:t xml:space="preserve">Whereas, in </w:t>
      </w:r>
      <w:r w:rsidRPr="00026470">
        <w:rPr>
          <w:i/>
          <w:iCs/>
          <w:color w:val="000000" w:themeColor="text1"/>
          <w:sz w:val="22"/>
          <w:szCs w:val="22"/>
          <w:u w:color="000000" w:themeColor="text1"/>
        </w:rPr>
        <w:t>Simpson v. Chesterfield County Board of Supervisors</w:t>
      </w:r>
      <w:r w:rsidRPr="00026470">
        <w:rPr>
          <w:color w:val="000000" w:themeColor="text1"/>
          <w:sz w:val="22"/>
          <w:szCs w:val="22"/>
          <w:u w:color="000000" w:themeColor="text1"/>
        </w:rPr>
        <w:t>, 404 F.3d 276 (4th Cir. 2004), cert. denied, the United States Court of Appeals for the Fourth Circuit reviewed and specifically approved the policy of a county board in which various clergy in the county’s religious community were invited to present invocations before meetings of the board; and</w:t>
      </w: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026470">
        <w:rPr>
          <w:color w:val="000000" w:themeColor="text1"/>
          <w:sz w:val="22"/>
          <w:szCs w:val="22"/>
          <w:u w:color="000000" w:themeColor="text1"/>
        </w:rPr>
        <w:t xml:space="preserve">Whereas, the Fourth Circuit’s ruling in </w:t>
      </w:r>
      <w:r w:rsidRPr="00026470">
        <w:rPr>
          <w:i/>
          <w:iCs/>
          <w:color w:val="000000" w:themeColor="text1"/>
          <w:sz w:val="22"/>
          <w:szCs w:val="22"/>
          <w:u w:color="000000" w:themeColor="text1"/>
        </w:rPr>
        <w:t>Simpson</w:t>
      </w:r>
      <w:r w:rsidRPr="00026470">
        <w:rPr>
          <w:iCs/>
          <w:color w:val="000000" w:themeColor="text1"/>
          <w:sz w:val="22"/>
          <w:szCs w:val="22"/>
          <w:u w:color="000000" w:themeColor="text1"/>
        </w:rPr>
        <w:t xml:space="preserve"> </w:t>
      </w:r>
      <w:r w:rsidRPr="00026470">
        <w:rPr>
          <w:color w:val="000000" w:themeColor="text1"/>
          <w:sz w:val="22"/>
          <w:szCs w:val="22"/>
          <w:u w:color="000000" w:themeColor="text1"/>
        </w:rPr>
        <w:t xml:space="preserve">can be distinguished from its earlier decision in </w:t>
      </w:r>
      <w:r w:rsidRPr="00026470">
        <w:rPr>
          <w:i/>
          <w:iCs/>
          <w:color w:val="000000" w:themeColor="text1"/>
          <w:sz w:val="22"/>
          <w:szCs w:val="22"/>
          <w:u w:color="000000" w:themeColor="text1"/>
        </w:rPr>
        <w:t>Wynne v. Town of Great Falls</w:t>
      </w:r>
      <w:r w:rsidRPr="00026470">
        <w:rPr>
          <w:color w:val="000000" w:themeColor="text1"/>
          <w:sz w:val="22"/>
          <w:szCs w:val="22"/>
          <w:u w:color="000000" w:themeColor="text1"/>
        </w:rPr>
        <w:t xml:space="preserve">, 376 F.3d 292, 298 (4th Cir. 2004, cert. denied) (citing </w:t>
      </w:r>
      <w:r w:rsidRPr="00026470">
        <w:rPr>
          <w:i/>
          <w:iCs/>
          <w:color w:val="000000" w:themeColor="text1"/>
          <w:sz w:val="22"/>
          <w:szCs w:val="22"/>
          <w:u w:color="000000" w:themeColor="text1"/>
        </w:rPr>
        <w:t>Marsh</w:t>
      </w:r>
      <w:r w:rsidRPr="00026470">
        <w:rPr>
          <w:color w:val="000000" w:themeColor="text1"/>
          <w:sz w:val="22"/>
          <w:szCs w:val="22"/>
          <w:u w:color="000000" w:themeColor="text1"/>
        </w:rPr>
        <w:t>, 463 U.S. at 794), where the court found a town council “improperly ‘exploited’ a ‘prayer opportunity’ to ‘advance’ one religion over others”; and</w:t>
      </w: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rPr>
      </w:pPr>
      <w:r w:rsidRPr="00026470">
        <w:rPr>
          <w:color w:val="000000" w:themeColor="text1"/>
          <w:sz w:val="22"/>
          <w:szCs w:val="22"/>
        </w:rPr>
        <w:t xml:space="preserve">Whereas, in </w:t>
      </w:r>
      <w:r w:rsidRPr="00026470">
        <w:rPr>
          <w:i/>
          <w:color w:val="000000" w:themeColor="text1"/>
          <w:sz w:val="22"/>
          <w:szCs w:val="22"/>
        </w:rPr>
        <w:t>Town of Greece v. Galloway</w:t>
      </w:r>
      <w:r w:rsidRPr="00026470">
        <w:rPr>
          <w:color w:val="000000" w:themeColor="text1"/>
          <w:sz w:val="22"/>
          <w:szCs w:val="22"/>
        </w:rPr>
        <w:t xml:space="preserve">¸ </w:t>
      </w:r>
      <w:r w:rsidRPr="00026470">
        <w:rPr>
          <w:bCs/>
          <w:color w:val="000000" w:themeColor="text1"/>
          <w:sz w:val="22"/>
          <w:szCs w:val="22"/>
        </w:rPr>
        <w:t xml:space="preserve">134 S.Ct. 1811 (2014), </w:t>
      </w:r>
      <w:r w:rsidRPr="00026470">
        <w:rPr>
          <w:color w:val="000000" w:themeColor="text1"/>
          <w:sz w:val="22"/>
          <w:szCs w:val="22"/>
        </w:rPr>
        <w:t>the United States Supreme Court subsequently held a town’s practice of opening its town board meetings with sectarian prayers by guest religious leaders expressing the beliefs of one faith did not violate the Establishment Clause; and</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rPr>
      </w:pPr>
      <w:r w:rsidRPr="00026470">
        <w:rPr>
          <w:color w:val="000000" w:themeColor="text1"/>
          <w:sz w:val="22"/>
          <w:szCs w:val="22"/>
        </w:rPr>
        <w:t xml:space="preserve">Whereas, the </w:t>
      </w:r>
      <w:r w:rsidRPr="00026470">
        <w:rPr>
          <w:i/>
          <w:color w:val="000000" w:themeColor="text1"/>
          <w:sz w:val="22"/>
          <w:szCs w:val="22"/>
        </w:rPr>
        <w:t>Galloway</w:t>
      </w:r>
      <w:r w:rsidRPr="00026470">
        <w:rPr>
          <w:color w:val="000000" w:themeColor="text1"/>
          <w:sz w:val="22"/>
          <w:szCs w:val="22"/>
        </w:rPr>
        <w:t xml:space="preserve"> Court rejected an argument that the Establishment Clause requires nonsectarian or ecumenical prayer, holding the explicitly sectarian nature of the prayers was not outside the tradition recognized in </w:t>
      </w:r>
      <w:r w:rsidRPr="00026470">
        <w:rPr>
          <w:i/>
          <w:color w:val="000000" w:themeColor="text1"/>
          <w:sz w:val="22"/>
          <w:szCs w:val="22"/>
        </w:rPr>
        <w:t>Marsh</w:t>
      </w:r>
      <w:r w:rsidRPr="00026470">
        <w:rPr>
          <w:color w:val="000000" w:themeColor="text1"/>
          <w:sz w:val="22"/>
          <w:szCs w:val="22"/>
        </w:rPr>
        <w:t xml:space="preserve"> and reasoning a rule that requires prayers to be nonsectarian would force the legislatures and courts to act impermissibly as “supervisors and censors of religious speech”; and</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6470">
        <w:rPr>
          <w:rFonts w:cs="Times New Roman"/>
          <w:color w:val="000000" w:themeColor="text1"/>
        </w:rPr>
        <w:t xml:space="preserve">Whereas, the </w:t>
      </w:r>
      <w:r w:rsidRPr="00026470">
        <w:rPr>
          <w:rFonts w:cs="Times New Roman"/>
          <w:i/>
          <w:color w:val="000000" w:themeColor="text1"/>
        </w:rPr>
        <w:t>Galloway</w:t>
      </w:r>
      <w:r w:rsidRPr="00026470">
        <w:rPr>
          <w:rFonts w:cs="Times New Roman"/>
          <w:color w:val="000000" w:themeColor="text1"/>
        </w:rPr>
        <w:t xml:space="preserve"> Court held that prayer practice is permissible so long as it is consistent with the tradition of lending “gravity to public business”; “there is no indication that the prayer opportunity has been exploited to proselytize or advance any one, or to disparage any other, faith or belief”; the town does not discriminate against minority faiths in determining who may offer a prayer; and the prayer does not coerce participation by nonadherents; and</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rPr>
      </w:pPr>
      <w:r w:rsidRPr="00026470">
        <w:rPr>
          <w:color w:val="000000" w:themeColor="text1"/>
          <w:sz w:val="22"/>
          <w:szCs w:val="22"/>
        </w:rPr>
        <w:t xml:space="preserve">Whereas, the </w:t>
      </w:r>
      <w:r w:rsidRPr="00026470">
        <w:rPr>
          <w:i/>
          <w:color w:val="000000" w:themeColor="text1"/>
          <w:sz w:val="22"/>
          <w:szCs w:val="22"/>
        </w:rPr>
        <w:t>Galloway</w:t>
      </w:r>
      <w:r w:rsidRPr="00026470">
        <w:rPr>
          <w:color w:val="000000" w:themeColor="text1"/>
          <w:sz w:val="22"/>
          <w:szCs w:val="22"/>
        </w:rPr>
        <w:t xml:space="preserve"> Court explained that “[a]bsent a pattern of prayers that over time denigrate, proselytize, or betray an impermissible government purpose, a challenge based solely on the content of a prayer will not likely establish a constitutional violation”; and</w:t>
      </w: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026470">
        <w:rPr>
          <w:color w:val="000000" w:themeColor="text1"/>
          <w:sz w:val="22"/>
          <w:szCs w:val="22"/>
          <w:u w:color="000000" w:themeColor="text1"/>
        </w:rPr>
        <w:t xml:space="preserve">Whereas, the General Assembly </w:t>
      </w:r>
      <w:r w:rsidRPr="00026470">
        <w:rPr>
          <w:color w:val="000000" w:themeColor="text1"/>
          <w:sz w:val="22"/>
          <w:szCs w:val="22"/>
        </w:rPr>
        <w:t xml:space="preserve">passed Act 241 of 2008 before the United States Supreme Court issued </w:t>
      </w:r>
      <w:r w:rsidRPr="00026470">
        <w:rPr>
          <w:i/>
          <w:color w:val="000000" w:themeColor="text1"/>
          <w:sz w:val="22"/>
          <w:szCs w:val="22"/>
        </w:rPr>
        <w:t xml:space="preserve">Galloway </w:t>
      </w:r>
      <w:r w:rsidRPr="00026470">
        <w:rPr>
          <w:color w:val="000000" w:themeColor="text1"/>
          <w:sz w:val="22"/>
          <w:szCs w:val="22"/>
        </w:rPr>
        <w:t xml:space="preserve">and now wishes to amend the act to incorporate </w:t>
      </w:r>
      <w:r w:rsidRPr="00026470">
        <w:rPr>
          <w:i/>
          <w:color w:val="000000" w:themeColor="text1"/>
          <w:sz w:val="22"/>
          <w:szCs w:val="22"/>
        </w:rPr>
        <w:t>Galloway</w:t>
      </w:r>
      <w:r w:rsidRPr="00026470">
        <w:rPr>
          <w:color w:val="000000" w:themeColor="text1"/>
          <w:sz w:val="22"/>
          <w:szCs w:val="22"/>
        </w:rPr>
        <w:t>’s holding</w:t>
      </w:r>
      <w:r w:rsidRPr="00026470">
        <w:rPr>
          <w:color w:val="000000" w:themeColor="text1"/>
          <w:sz w:val="22"/>
          <w:szCs w:val="22"/>
          <w:u w:color="000000" w:themeColor="text1"/>
        </w:rPr>
        <w:t>; and</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026470">
        <w:rPr>
          <w:color w:val="000000" w:themeColor="text1"/>
          <w:sz w:val="22"/>
          <w:szCs w:val="22"/>
          <w:u w:color="000000" w:themeColor="text1"/>
        </w:rPr>
        <w:t>Whereas, this act signifies the General Assembly’s belief that deliberate public bodies in this State may adopt policies that will permit public invocations in a constitutionally permissible fashion. This act does not signify the General Assembly’s belief in the limits of constitutional law, nor preempt the deliberative public body from exercising a constitutional right to permit public invocations pursuant to a policy other than that set forth in this act. Now, therefore,</w:t>
      </w: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p>
    <w:p w:rsidR="00DC4E75" w:rsidRPr="00026470" w:rsidRDefault="00DC4E75" w:rsidP="00DC4E75">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026470">
        <w:rPr>
          <w:color w:val="000000" w:themeColor="text1"/>
          <w:sz w:val="22"/>
          <w:szCs w:val="22"/>
          <w:u w:color="000000" w:themeColor="text1"/>
        </w:rPr>
        <w:t>Be it enacted by the General Assembly of the State of South Carolina:</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4E75" w:rsidRPr="0014601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South Carolina Public Prayer and Invocation Act</w:t>
      </w:r>
    </w:p>
    <w:p w:rsidR="00DC4E75"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eastAsia="Times New Roman" w:cs="Times New Roman"/>
          <w:color w:val="000000" w:themeColor="text1"/>
          <w:u w:color="000000" w:themeColor="text1"/>
        </w:rPr>
        <w:t>SECTION</w:t>
      </w:r>
      <w:r w:rsidRPr="00026470">
        <w:rPr>
          <w:rFonts w:eastAsia="Times New Roman" w:cs="Times New Roman"/>
          <w:color w:val="000000" w:themeColor="text1"/>
          <w:u w:color="000000" w:themeColor="text1"/>
        </w:rPr>
        <w:tab/>
        <w:t>1.</w:t>
      </w:r>
      <w:r w:rsidRPr="00026470">
        <w:rPr>
          <w:rFonts w:eastAsia="Times New Roman" w:cs="Times New Roman"/>
          <w:color w:val="000000" w:themeColor="text1"/>
          <w:u w:color="000000" w:themeColor="text1"/>
        </w:rPr>
        <w:tab/>
      </w:r>
      <w:r w:rsidRPr="00026470">
        <w:rPr>
          <w:rFonts w:cs="Times New Roman"/>
          <w:color w:val="000000" w:themeColor="text1"/>
          <w:u w:color="000000" w:themeColor="text1"/>
        </w:rPr>
        <w:t xml:space="preserve">This act may be cited as the “South Carolina Public </w:t>
      </w:r>
      <w:r w:rsidRPr="00026470">
        <w:rPr>
          <w:rFonts w:cs="Times New Roman"/>
          <w:color w:val="000000" w:themeColor="text1"/>
        </w:rPr>
        <w:t>Prayer and</w:t>
      </w:r>
      <w:r w:rsidRPr="00026470">
        <w:rPr>
          <w:rFonts w:cs="Times New Roman"/>
          <w:color w:val="000000" w:themeColor="text1"/>
          <w:u w:color="000000" w:themeColor="text1"/>
        </w:rPr>
        <w:t xml:space="preserve"> Invocation Act”.</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4E75" w:rsidRPr="0014601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Public invocations</w:t>
      </w:r>
    </w:p>
    <w:p w:rsidR="00DC4E75"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SECTION</w:t>
      </w:r>
      <w:r w:rsidRPr="00026470">
        <w:rPr>
          <w:rFonts w:cs="Times New Roman"/>
          <w:color w:val="000000" w:themeColor="text1"/>
          <w:u w:color="000000" w:themeColor="text1"/>
        </w:rPr>
        <w:tab/>
        <w:t>2.</w:t>
      </w:r>
      <w:r w:rsidRPr="00026470">
        <w:rPr>
          <w:rFonts w:cs="Times New Roman"/>
          <w:color w:val="000000" w:themeColor="text1"/>
          <w:u w:color="000000" w:themeColor="text1"/>
        </w:rPr>
        <w:tab/>
        <w:t>Section 6</w:t>
      </w:r>
      <w:r w:rsidRPr="00026470">
        <w:rPr>
          <w:rFonts w:cs="Times New Roman"/>
          <w:color w:val="000000" w:themeColor="text1"/>
          <w:u w:color="000000" w:themeColor="text1"/>
        </w:rPr>
        <w:noBreakHyphen/>
        <w:t>1</w:t>
      </w:r>
      <w:r w:rsidRPr="00026470">
        <w:rPr>
          <w:rFonts w:cs="Times New Roman"/>
          <w:color w:val="000000" w:themeColor="text1"/>
          <w:u w:color="000000" w:themeColor="text1"/>
        </w:rPr>
        <w:noBreakHyphen/>
        <w:t>160 of the 1976 Code</w:t>
      </w:r>
      <w:r>
        <w:rPr>
          <w:rFonts w:cs="Times New Roman"/>
          <w:color w:val="000000" w:themeColor="text1"/>
          <w:u w:color="000000" w:themeColor="text1"/>
        </w:rPr>
        <w:t xml:space="preserve">, as added by Act 241 of 2008, </w:t>
      </w:r>
      <w:r w:rsidRPr="00026470">
        <w:rPr>
          <w:rFonts w:cs="Times New Roman"/>
          <w:color w:val="000000" w:themeColor="text1"/>
          <w:u w:color="000000" w:themeColor="text1"/>
        </w:rPr>
        <w:t>is amended to read:</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t>“Section 6</w:t>
      </w:r>
      <w:r w:rsidRPr="00026470">
        <w:rPr>
          <w:rFonts w:cs="Times New Roman"/>
          <w:color w:val="000000" w:themeColor="text1"/>
          <w:u w:color="000000" w:themeColor="text1"/>
        </w:rPr>
        <w:noBreakHyphen/>
        <w:t>1</w:t>
      </w:r>
      <w:r w:rsidRPr="00026470">
        <w:rPr>
          <w:rFonts w:cs="Times New Roman"/>
          <w:color w:val="000000" w:themeColor="text1"/>
          <w:u w:color="000000" w:themeColor="text1"/>
        </w:rPr>
        <w:noBreakHyphen/>
        <w:t>160.</w:t>
      </w:r>
      <w:r w:rsidRPr="00026470">
        <w:rPr>
          <w:rFonts w:cs="Times New Roman"/>
          <w:color w:val="000000" w:themeColor="text1"/>
          <w:u w:color="000000" w:themeColor="text1"/>
        </w:rPr>
        <w:tab/>
        <w:t>(A)</w:t>
      </w:r>
      <w:r w:rsidRPr="00026470">
        <w:rPr>
          <w:rFonts w:cs="Times New Roman"/>
          <w:color w:val="000000" w:themeColor="text1"/>
          <w:u w:color="000000" w:themeColor="text1"/>
        </w:rPr>
        <w:tab/>
        <w:t>For purposes of this section:</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r>
      <w:r w:rsidRPr="00026470">
        <w:rPr>
          <w:rFonts w:cs="Times New Roman"/>
          <w:color w:val="000000" w:themeColor="text1"/>
          <w:u w:color="000000" w:themeColor="text1"/>
        </w:rPr>
        <w:tab/>
        <w:t>(1)</w:t>
      </w:r>
      <w:r w:rsidRPr="00026470">
        <w:rPr>
          <w:rFonts w:cs="Times New Roman"/>
          <w:color w:val="000000" w:themeColor="text1"/>
          <w:u w:color="000000" w:themeColor="text1"/>
        </w:rPr>
        <w:tab/>
        <w:t>‘Public invocation’ means a prayer or invocation delivered in a method provided pursuant to subsection (B) to open the public meeting of a deliberative public body. In order to comply with applicable constitutional law, a public invocation must not:</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r>
      <w:r w:rsidRPr="00026470">
        <w:rPr>
          <w:rFonts w:cs="Times New Roman"/>
          <w:color w:val="000000" w:themeColor="text1"/>
          <w:u w:color="000000" w:themeColor="text1"/>
        </w:rPr>
        <w:tab/>
      </w:r>
      <w:r w:rsidRPr="00026470">
        <w:rPr>
          <w:rFonts w:cs="Times New Roman"/>
          <w:color w:val="000000" w:themeColor="text1"/>
          <w:u w:color="000000" w:themeColor="text1"/>
        </w:rPr>
        <w:tab/>
        <w:t>(</w:t>
      </w:r>
      <w:r>
        <w:rPr>
          <w:rFonts w:cs="Times New Roman"/>
          <w:color w:val="000000" w:themeColor="text1"/>
          <w:u w:color="000000" w:themeColor="text1"/>
        </w:rPr>
        <w:t>a</w:t>
      </w:r>
      <w:r w:rsidRPr="00026470">
        <w:rPr>
          <w:rFonts w:cs="Times New Roman"/>
          <w:color w:val="000000" w:themeColor="text1"/>
          <w:u w:color="000000" w:themeColor="text1"/>
        </w:rPr>
        <w:t>)</w:t>
      </w:r>
      <w:r w:rsidRPr="00026470">
        <w:rPr>
          <w:rFonts w:cs="Times New Roman"/>
          <w:color w:val="000000" w:themeColor="text1"/>
          <w:u w:color="000000" w:themeColor="text1"/>
        </w:rPr>
        <w:tab/>
        <w:t>be exploited to proselytize or advance any one, or to disparage any other faith or belief; or</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r>
      <w:r w:rsidRPr="00026470">
        <w:rPr>
          <w:rFonts w:cs="Times New Roman"/>
          <w:color w:val="000000" w:themeColor="text1"/>
          <w:u w:color="000000" w:themeColor="text1"/>
        </w:rPr>
        <w:tab/>
      </w:r>
      <w:r w:rsidRPr="00026470">
        <w:rPr>
          <w:rFonts w:cs="Times New Roman"/>
          <w:color w:val="000000" w:themeColor="text1"/>
          <w:u w:color="000000" w:themeColor="text1"/>
        </w:rPr>
        <w:tab/>
        <w:t>(</w:t>
      </w:r>
      <w:r>
        <w:rPr>
          <w:rFonts w:cs="Times New Roman"/>
          <w:color w:val="000000" w:themeColor="text1"/>
          <w:u w:color="000000" w:themeColor="text1"/>
        </w:rPr>
        <w:t>b</w:t>
      </w:r>
      <w:r w:rsidRPr="00026470">
        <w:rPr>
          <w:rFonts w:cs="Times New Roman"/>
          <w:color w:val="000000" w:themeColor="text1"/>
          <w:u w:color="000000" w:themeColor="text1"/>
        </w:rPr>
        <w:t>)</w:t>
      </w:r>
      <w:r w:rsidRPr="00026470">
        <w:rPr>
          <w:rFonts w:cs="Times New Roman"/>
          <w:color w:val="000000" w:themeColor="text1"/>
          <w:u w:color="000000" w:themeColor="text1"/>
        </w:rPr>
        <w:tab/>
        <w:t>coerce participation by observers of the invocation.</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r>
      <w:r w:rsidRPr="00026470">
        <w:rPr>
          <w:rFonts w:cs="Times New Roman"/>
          <w:color w:val="000000" w:themeColor="text1"/>
          <w:u w:color="000000" w:themeColor="text1"/>
        </w:rPr>
        <w:tab/>
        <w:t>(2)</w:t>
      </w:r>
      <w:r w:rsidRPr="00026470">
        <w:rPr>
          <w:rFonts w:cs="Times New Roman"/>
          <w:color w:val="000000" w:themeColor="text1"/>
          <w:u w:color="000000" w:themeColor="text1"/>
        </w:rPr>
        <w:tab/>
        <w:t>‘Deliberative public body’ includes, but is not limited to,</w:t>
      </w:r>
      <w:r w:rsidRPr="00026470">
        <w:rPr>
          <w:rFonts w:cs="Times New Roman"/>
          <w:color w:val="000000" w:themeColor="text1"/>
        </w:rPr>
        <w:t xml:space="preserve"> </w:t>
      </w:r>
      <w:r w:rsidRPr="00026470">
        <w:rPr>
          <w:rFonts w:cs="Times New Roman"/>
          <w:color w:val="000000" w:themeColor="text1"/>
          <w:u w:color="000000" w:themeColor="text1"/>
        </w:rPr>
        <w:t>a state board or commission; the governing body of a county or municipal government; a school district board; a branch or division of a county or municipal government; and a special purpose or public service district.</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t>(B)</w:t>
      </w:r>
      <w:r w:rsidRPr="00026470">
        <w:rPr>
          <w:rFonts w:cs="Times New Roman"/>
          <w:color w:val="000000" w:themeColor="text1"/>
          <w:u w:color="000000" w:themeColor="text1"/>
        </w:rPr>
        <w:tab/>
        <w:t>A deliberative public body may adopt a policy to permit a public invocation as defined in subsection (A)(1) before each meeting of the public body, for the benefit of the public body. The policy may allow for a public invocation to be offered on a voluntary basis, at the beginning of the meeting, by:</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r>
      <w:r w:rsidRPr="00026470">
        <w:rPr>
          <w:rFonts w:cs="Times New Roman"/>
          <w:color w:val="000000" w:themeColor="text1"/>
          <w:u w:color="000000" w:themeColor="text1"/>
        </w:rPr>
        <w:tab/>
        <w:t>(1)</w:t>
      </w:r>
      <w:r w:rsidRPr="00026470">
        <w:rPr>
          <w:rFonts w:cs="Times New Roman"/>
          <w:color w:val="000000" w:themeColor="text1"/>
          <w:u w:color="000000" w:themeColor="text1"/>
        </w:rPr>
        <w:tab/>
        <w:t>one of the public officials, elected or appointed to the deliberative public body;</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r>
      <w:r w:rsidRPr="00026470">
        <w:rPr>
          <w:rFonts w:cs="Times New Roman"/>
          <w:color w:val="000000" w:themeColor="text1"/>
          <w:u w:color="000000" w:themeColor="text1"/>
        </w:rPr>
        <w:tab/>
        <w:t>(2)</w:t>
      </w:r>
      <w:r w:rsidRPr="00026470">
        <w:rPr>
          <w:rFonts w:cs="Times New Roman"/>
          <w:color w:val="000000" w:themeColor="text1"/>
          <w:u w:color="000000" w:themeColor="text1"/>
        </w:rPr>
        <w:tab/>
        <w:t>a chaplain elected by the public officials of the deliberative public body; or</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r>
      <w:r w:rsidRPr="00026470">
        <w:rPr>
          <w:rFonts w:cs="Times New Roman"/>
          <w:color w:val="000000" w:themeColor="text1"/>
          <w:u w:color="000000" w:themeColor="text1"/>
        </w:rPr>
        <w:tab/>
        <w:t>(3)</w:t>
      </w:r>
      <w:r w:rsidRPr="00026470">
        <w:rPr>
          <w:rFonts w:cs="Times New Roman"/>
          <w:color w:val="000000" w:themeColor="text1"/>
          <w:u w:color="000000" w:themeColor="text1"/>
        </w:rPr>
        <w:tab/>
        <w:t>an invocation speaker selected on an objective basis from among a wide pool of religious leaders serving established religious congregations in the local community in which the deliberative public body meets. To ensure objectivity in the selection, the deliberative public body may, but is not required to, compile a list of known, established religio</w:t>
      </w:r>
      <w:r>
        <w:rPr>
          <w:rFonts w:cs="Times New Roman"/>
          <w:color w:val="000000" w:themeColor="text1"/>
          <w:u w:color="000000" w:themeColor="text1"/>
        </w:rPr>
        <w:t>us congregations and assemblies</w:t>
      </w:r>
      <w:r w:rsidRPr="00026470">
        <w:rPr>
          <w:rFonts w:cs="Times New Roman"/>
          <w:color w:val="000000" w:themeColor="text1"/>
          <w:u w:color="000000" w:themeColor="text1"/>
        </w:rPr>
        <w:t>, and invite a ‘religious leader’ from each congregation and assembly to give a public invocation on a first</w:t>
      </w:r>
      <w:r w:rsidRPr="00026470">
        <w:rPr>
          <w:rFonts w:cs="Times New Roman"/>
          <w:color w:val="000000" w:themeColor="text1"/>
          <w:u w:color="000000" w:themeColor="text1"/>
        </w:rPr>
        <w:noBreakHyphen/>
        <w:t>come, first</w:t>
      </w:r>
      <w:r w:rsidRPr="00026470">
        <w:rPr>
          <w:rFonts w:cs="Times New Roman"/>
          <w:color w:val="000000" w:themeColor="text1"/>
          <w:u w:color="000000" w:themeColor="text1"/>
        </w:rPr>
        <w:noBreakHyphen/>
        <w:t xml:space="preserve">served basis. The invitation may contain, in addition to scheduling and other general information, the following statement: ‘A religious leader is free to offer a public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 or coerce participation by observers of the invocation’. </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t>(C)</w:t>
      </w:r>
      <w:r w:rsidRPr="00026470">
        <w:rPr>
          <w:rFonts w:cs="Times New Roman"/>
          <w:color w:val="000000" w:themeColor="text1"/>
          <w:u w:color="000000" w:themeColor="text1"/>
        </w:rPr>
        <w:tab/>
        <w:t>In order that deliberative public bodies may have access to advice on the current status of the law concerning public invocations, the Attorney General’s office shall prepare a statement of the applicable constitutional law and, upon request, make that statement available to a member of the General Assembly or a deliberative public body.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website.</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t>(D)</w:t>
      </w:r>
      <w:r w:rsidRPr="00026470">
        <w:rPr>
          <w:rFonts w:cs="Times New Roman"/>
          <w:color w:val="000000" w:themeColor="text1"/>
          <w:u w:color="000000" w:themeColor="text1"/>
        </w:rPr>
        <w:tab/>
        <w:t>The Attorney General shall defend any deliberative public body against a facial challenge to the constitutionality of this act.</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6470">
        <w:rPr>
          <w:rFonts w:cs="Times New Roman"/>
          <w:color w:val="000000" w:themeColor="text1"/>
          <w:u w:color="000000" w:themeColor="text1"/>
        </w:rPr>
        <w:tab/>
        <w:t>(E)</w:t>
      </w:r>
      <w:r w:rsidRPr="00026470">
        <w:rPr>
          <w:rFonts w:cs="Times New Roman"/>
          <w:color w:val="000000" w:themeColor="text1"/>
          <w:u w:color="000000" w:themeColor="text1"/>
        </w:rPr>
        <w:tab/>
        <w:t>Nothing in this section prohibits a deliberative public body from developing its own policy on public invocations based upon advice from legal counsel.”</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14601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Severability</w:t>
      </w:r>
    </w:p>
    <w:p w:rsidR="00DC4E75"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26470">
        <w:rPr>
          <w:rFonts w:eastAsia="Times New Roman" w:cs="Times New Roman"/>
          <w:color w:val="000000" w:themeColor="text1"/>
          <w:u w:color="000000" w:themeColor="text1"/>
        </w:rPr>
        <w:t>SECTION</w:t>
      </w:r>
      <w:r w:rsidRPr="00026470">
        <w:rPr>
          <w:rFonts w:eastAsia="Times New Roman" w:cs="Times New Roman"/>
          <w:color w:val="000000" w:themeColor="text1"/>
          <w:u w:color="000000" w:themeColor="text1"/>
        </w:rPr>
        <w:tab/>
        <w:t>3.</w:t>
      </w:r>
      <w:r w:rsidRPr="00026470">
        <w:rPr>
          <w:rFonts w:eastAsia="Times New Roman" w:cs="Times New Roman"/>
          <w:color w:val="000000" w:themeColor="text1"/>
          <w:u w:color="000000" w:themeColor="text1"/>
        </w:rPr>
        <w:tab/>
      </w:r>
      <w:r w:rsidRPr="00026470">
        <w:rPr>
          <w:rFonts w:cs="Times New Roman"/>
          <w:color w:val="000000" w:themeColor="text1"/>
          <w:u w:color="000000" w:themeColor="text1"/>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C4E75" w:rsidRPr="00026470"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146010" w:rsidRDefault="00DC4E75" w:rsidP="00DC4E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Time effective</w:t>
      </w:r>
    </w:p>
    <w:p w:rsidR="00DC4E75" w:rsidRDefault="00DC4E75" w:rsidP="00DC4E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C4E75" w:rsidRPr="00026470" w:rsidRDefault="00DC4E75" w:rsidP="00DC4E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6470">
        <w:rPr>
          <w:rFonts w:eastAsia="Times New Roman" w:cs="Times New Roman"/>
          <w:color w:val="000000" w:themeColor="text1"/>
          <w:u w:color="000000" w:themeColor="text1"/>
        </w:rPr>
        <w:t>SECTION</w:t>
      </w:r>
      <w:r w:rsidRPr="00026470">
        <w:rPr>
          <w:rFonts w:eastAsia="Times New Roman" w:cs="Times New Roman"/>
          <w:color w:val="000000" w:themeColor="text1"/>
          <w:u w:color="000000" w:themeColor="text1"/>
        </w:rPr>
        <w:tab/>
        <w:t>4.</w:t>
      </w:r>
      <w:r w:rsidRPr="00026470">
        <w:rPr>
          <w:rFonts w:eastAsia="Times New Roman" w:cs="Times New Roman"/>
          <w:color w:val="000000" w:themeColor="text1"/>
          <w:u w:color="000000" w:themeColor="text1"/>
        </w:rPr>
        <w:tab/>
        <w:t>This act takes effect upon approval by the Governor.</w:t>
      </w:r>
    </w:p>
    <w:p w:rsidR="00DC4E75"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C4E75" w:rsidRDefault="00DC4E75"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DC4E75" w:rsidRDefault="00DC4E75" w:rsidP="00DC4E75">
      <w:pPr>
        <w:jc w:val="both"/>
        <w:rPr>
          <w:color w:val="000000" w:themeColor="text1"/>
        </w:rPr>
      </w:pPr>
    </w:p>
    <w:p w:rsidR="00DC4E75" w:rsidRDefault="00DC4E75" w:rsidP="00DC4E75">
      <w:pPr>
        <w:jc w:val="both"/>
        <w:rPr>
          <w:color w:val="000000" w:themeColor="text1"/>
        </w:rPr>
      </w:pPr>
      <w:r>
        <w:rPr>
          <w:color w:val="000000" w:themeColor="text1"/>
        </w:rPr>
        <w:t>Approved the 3</w:t>
      </w:r>
      <w:r w:rsidRPr="00E371C4">
        <w:rPr>
          <w:color w:val="000000" w:themeColor="text1"/>
          <w:vertAlign w:val="superscript"/>
        </w:rPr>
        <w:t>rd</w:t>
      </w:r>
      <w:r>
        <w:rPr>
          <w:color w:val="000000" w:themeColor="text1"/>
        </w:rPr>
        <w:t xml:space="preserve"> day of June, 2016. </w:t>
      </w:r>
    </w:p>
    <w:p w:rsidR="00DC4E75" w:rsidRDefault="00DC4E75" w:rsidP="00DC4E75">
      <w:pPr>
        <w:jc w:val="center"/>
        <w:rPr>
          <w:color w:val="000000" w:themeColor="text1"/>
        </w:rPr>
      </w:pPr>
    </w:p>
    <w:p w:rsidR="00DC4E75" w:rsidRDefault="00DC4E75" w:rsidP="00DC4E75">
      <w:pPr>
        <w:jc w:val="center"/>
        <w:rPr>
          <w:color w:val="000000" w:themeColor="text1"/>
        </w:rPr>
      </w:pPr>
      <w:r>
        <w:rPr>
          <w:color w:val="000000" w:themeColor="text1"/>
        </w:rPr>
        <w:t>__________</w:t>
      </w:r>
    </w:p>
    <w:p w:rsidR="00030157" w:rsidRPr="001C696C" w:rsidRDefault="00030157" w:rsidP="00DC4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30157" w:rsidRPr="001C696C" w:rsidSect="00030157">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31F" w:rsidRDefault="0017131F" w:rsidP="007D5FAC">
      <w:r>
        <w:separator/>
      </w:r>
    </w:p>
  </w:endnote>
  <w:endnote w:type="continuationSeparator" w:id="0">
    <w:p w:rsidR="0017131F" w:rsidRDefault="001713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157" w:rsidRPr="00030157" w:rsidRDefault="00030157" w:rsidP="0003015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E427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157" w:rsidRDefault="00030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31F" w:rsidRDefault="0017131F" w:rsidP="007D5FAC">
      <w:r>
        <w:separator/>
      </w:r>
    </w:p>
  </w:footnote>
  <w:footnote w:type="continuationSeparator" w:id="0">
    <w:p w:rsidR="0017131F" w:rsidRDefault="001713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233"/>
    <w:docVar w:name="ActSecretary" w:val="Shackelford"/>
    <w:docVar w:name="ActSIdno" w:val="(96)  233ZW16"/>
    <w:docVar w:name="clipname" w:val="233ZW16"/>
    <w:docVar w:name="dvBillNumber" w:val="233"/>
    <w:docVar w:name="dvBillNumberPrefix" w:val="S"/>
    <w:docVar w:name="dvOriginalBody" w:val="Senate"/>
    <w:docVar w:name="OrigSENATEBillNo" w:val="233"/>
    <w:docVar w:name="SENATEACTFULLPATH" w:val="L:\COUNCIL\ACTS\233ZW16.DOCX"/>
    <w:docVar w:name="WhatActtype" w:val="AN ACT"/>
  </w:docVars>
  <w:rsids>
    <w:rsidRoot w:val="007578E5"/>
    <w:rsid w:val="00002DE0"/>
    <w:rsid w:val="00015B28"/>
    <w:rsid w:val="00020349"/>
    <w:rsid w:val="00021B0B"/>
    <w:rsid w:val="00030157"/>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6010"/>
    <w:rsid w:val="001519E2"/>
    <w:rsid w:val="001626DB"/>
    <w:rsid w:val="00170F30"/>
    <w:rsid w:val="0017131F"/>
    <w:rsid w:val="00172771"/>
    <w:rsid w:val="001747A9"/>
    <w:rsid w:val="001750EA"/>
    <w:rsid w:val="001754BB"/>
    <w:rsid w:val="0018353C"/>
    <w:rsid w:val="00184AD0"/>
    <w:rsid w:val="00197DBF"/>
    <w:rsid w:val="001A646B"/>
    <w:rsid w:val="001A75A0"/>
    <w:rsid w:val="001B5A28"/>
    <w:rsid w:val="001B65B6"/>
    <w:rsid w:val="001B78F9"/>
    <w:rsid w:val="001B7FF5"/>
    <w:rsid w:val="001C3032"/>
    <w:rsid w:val="001C390F"/>
    <w:rsid w:val="001C50A7"/>
    <w:rsid w:val="001C6957"/>
    <w:rsid w:val="001C696C"/>
    <w:rsid w:val="001D279C"/>
    <w:rsid w:val="001D550F"/>
    <w:rsid w:val="001D5B5B"/>
    <w:rsid w:val="001E0CFB"/>
    <w:rsid w:val="001E47D6"/>
    <w:rsid w:val="001F1CCC"/>
    <w:rsid w:val="001F729C"/>
    <w:rsid w:val="00200C6E"/>
    <w:rsid w:val="00204492"/>
    <w:rsid w:val="00205FE7"/>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15BA"/>
    <w:rsid w:val="002F45B3"/>
    <w:rsid w:val="00304605"/>
    <w:rsid w:val="003049A0"/>
    <w:rsid w:val="00305689"/>
    <w:rsid w:val="00307C84"/>
    <w:rsid w:val="0031739F"/>
    <w:rsid w:val="003219FC"/>
    <w:rsid w:val="0032380E"/>
    <w:rsid w:val="00325D1F"/>
    <w:rsid w:val="003348FE"/>
    <w:rsid w:val="00334EAC"/>
    <w:rsid w:val="00335BB6"/>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0B49"/>
    <w:rsid w:val="003A6D96"/>
    <w:rsid w:val="003A7517"/>
    <w:rsid w:val="003B1A01"/>
    <w:rsid w:val="003B2E6E"/>
    <w:rsid w:val="003B355D"/>
    <w:rsid w:val="003B6BB7"/>
    <w:rsid w:val="003B746E"/>
    <w:rsid w:val="003C030C"/>
    <w:rsid w:val="003D2629"/>
    <w:rsid w:val="003D2A73"/>
    <w:rsid w:val="00400828"/>
    <w:rsid w:val="00412B47"/>
    <w:rsid w:val="004132C9"/>
    <w:rsid w:val="00414C2A"/>
    <w:rsid w:val="004157C4"/>
    <w:rsid w:val="0041760A"/>
    <w:rsid w:val="00417A9C"/>
    <w:rsid w:val="00423310"/>
    <w:rsid w:val="00427BCB"/>
    <w:rsid w:val="00430DA3"/>
    <w:rsid w:val="004316DC"/>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2456"/>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6CF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78E5"/>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6E78"/>
    <w:rsid w:val="00877295"/>
    <w:rsid w:val="008836A5"/>
    <w:rsid w:val="00892AF7"/>
    <w:rsid w:val="00897801"/>
    <w:rsid w:val="008B2051"/>
    <w:rsid w:val="008B48BD"/>
    <w:rsid w:val="008B552D"/>
    <w:rsid w:val="008C325E"/>
    <w:rsid w:val="008D34B6"/>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1EE0"/>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34DC"/>
    <w:rsid w:val="00B11270"/>
    <w:rsid w:val="00B12572"/>
    <w:rsid w:val="00B303AC"/>
    <w:rsid w:val="00B374C4"/>
    <w:rsid w:val="00B408FD"/>
    <w:rsid w:val="00B417DE"/>
    <w:rsid w:val="00B4797F"/>
    <w:rsid w:val="00B516BA"/>
    <w:rsid w:val="00B520A2"/>
    <w:rsid w:val="00B62CAB"/>
    <w:rsid w:val="00B72CE3"/>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1639"/>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5B16"/>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4E75"/>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5540"/>
    <w:rsid w:val="00E92B62"/>
    <w:rsid w:val="00E9303D"/>
    <w:rsid w:val="00E97D54"/>
    <w:rsid w:val="00EA2A3A"/>
    <w:rsid w:val="00EA77B0"/>
    <w:rsid w:val="00EB223A"/>
    <w:rsid w:val="00EC47CE"/>
    <w:rsid w:val="00ED4871"/>
    <w:rsid w:val="00EE42B4"/>
    <w:rsid w:val="00EE663F"/>
    <w:rsid w:val="00EF0E4A"/>
    <w:rsid w:val="00EF3073"/>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4276"/>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1CC83C5-24CB-44CB-9F07-BD35DBBE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3015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Default">
    <w:name w:val="Default"/>
    <w:rsid w:val="00EF3073"/>
    <w:pPr>
      <w:autoSpaceDE w:val="0"/>
      <w:autoSpaceDN w:val="0"/>
      <w:adjustRightInd w:val="0"/>
      <w:spacing w:before="0"/>
    </w:pPr>
    <w:rPr>
      <w:rFonts w:cs="Times New Roman"/>
      <w:color w:val="000000"/>
      <w:sz w:val="24"/>
      <w:szCs w:val="24"/>
    </w:rPr>
  </w:style>
  <w:style w:type="paragraph" w:styleId="BalloonText">
    <w:name w:val="Balloon Text"/>
    <w:basedOn w:val="Normal"/>
    <w:link w:val="BalloonTextChar"/>
    <w:uiPriority w:val="99"/>
    <w:semiHidden/>
    <w:unhideWhenUsed/>
    <w:rsid w:val="00146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010"/>
    <w:rPr>
      <w:rFonts w:ascii="Segoe UI" w:hAnsi="Segoe UI" w:cs="Segoe UI"/>
      <w:sz w:val="18"/>
      <w:szCs w:val="18"/>
    </w:rPr>
  </w:style>
  <w:style w:type="table" w:styleId="TableGrid">
    <w:name w:val="Table Grid"/>
    <w:basedOn w:val="TableNormal"/>
    <w:uiPriority w:val="59"/>
    <w:rsid w:val="00C8163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3015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76E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3-23-16.docx" TargetMode="External"/><Relationship Id="rId13" Type="http://schemas.openxmlformats.org/officeDocument/2006/relationships/hyperlink" Target="file:///h:\HJ%20Archive\2016\04-12-16.docx" TargetMode="External"/><Relationship Id="rId18" Type="http://schemas.openxmlformats.org/officeDocument/2006/relationships/hyperlink" Target="file:///h:\HJ%20Archive\2016\05-31-16.docx" TargetMode="External"/><Relationship Id="rId26" Type="http://schemas.openxmlformats.org/officeDocument/2006/relationships/hyperlink" Target="file:///p:\pprever\2015-16\233_20160405.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233&amp;session=121&amp;summary=B" TargetMode="External"/><Relationship Id="rId7" Type="http://schemas.openxmlformats.org/officeDocument/2006/relationships/hyperlink" Target="file:///h:\SJ%20Archive\2015\01-13-15.docx" TargetMode="External"/><Relationship Id="rId12" Type="http://schemas.openxmlformats.org/officeDocument/2006/relationships/hyperlink" Target="file:///h:\SJ%20Archive\2016\04-06-16.docx" TargetMode="External"/><Relationship Id="rId17" Type="http://schemas.openxmlformats.org/officeDocument/2006/relationships/hyperlink" Target="file:///h:\HJ%20Archive\2016\05-24-16.docx" TargetMode="External"/><Relationship Id="rId25" Type="http://schemas.openxmlformats.org/officeDocument/2006/relationships/hyperlink" Target="file:///p:\pprever\2015-16\233_20160324.docx" TargetMode="External"/><Relationship Id="rId2" Type="http://schemas.openxmlformats.org/officeDocument/2006/relationships/settings" Target="settings.xml"/><Relationship Id="rId16" Type="http://schemas.openxmlformats.org/officeDocument/2006/relationships/hyperlink" Target="file:///h:\HJ%20Archive\2016\04-20-16.docx" TargetMode="External"/><Relationship Id="rId20" Type="http://schemas.openxmlformats.org/officeDocument/2006/relationships/hyperlink" Target="file:///h:\HJ%20Archive\2016\06-01-16.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6\04-05-16.docx" TargetMode="External"/><Relationship Id="rId24" Type="http://schemas.openxmlformats.org/officeDocument/2006/relationships/hyperlink" Target="file:///p:\pprever\2015-16\233_20160323.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6\04-20-16.docx" TargetMode="External"/><Relationship Id="rId23" Type="http://schemas.openxmlformats.org/officeDocument/2006/relationships/hyperlink" Target="file:///p:\pprever\2015-16\233_20160222.docx" TargetMode="External"/><Relationship Id="rId28" Type="http://schemas.openxmlformats.org/officeDocument/2006/relationships/hyperlink" Target="file:///p:\pprever\2015-16\233_20160524.docx" TargetMode="External"/><Relationship Id="rId10" Type="http://schemas.openxmlformats.org/officeDocument/2006/relationships/hyperlink" Target="file:///h:\SJ%20Archive\2016\04-05-16.docx" TargetMode="External"/><Relationship Id="rId19" Type="http://schemas.openxmlformats.org/officeDocument/2006/relationships/hyperlink" Target="file:///h:\HJ%20Archive\2016\05-31-16.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6\04-05-16.docx" TargetMode="External"/><Relationship Id="rId14" Type="http://schemas.openxmlformats.org/officeDocument/2006/relationships/hyperlink" Target="file:///h:\HJ%20Archive\2016\04-12-16.docx" TargetMode="External"/><Relationship Id="rId22" Type="http://schemas.openxmlformats.org/officeDocument/2006/relationships/hyperlink" Target="file:///p:\pprever\2015-16\233_20141210.docx" TargetMode="External"/><Relationship Id="rId27" Type="http://schemas.openxmlformats.org/officeDocument/2006/relationships/hyperlink" Target="file:///p:\pprever\2015-16\233_2016040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233: Prayer or invocation - South Carolina Legislature Online</dc:title>
  <dc:subject/>
  <dc:creator>GloriaShackelford</dc:creator>
  <cp:keywords/>
  <dc:description/>
  <cp:lastModifiedBy>N Cumfer</cp:lastModifiedBy>
  <cp:revision>2</cp:revision>
  <cp:lastPrinted>2016-06-01T19:40:00Z</cp:lastPrinted>
  <dcterms:created xsi:type="dcterms:W3CDTF">2016-12-02T16:55:00Z</dcterms:created>
  <dcterms:modified xsi:type="dcterms:W3CDTF">2016-12-02T16:55:00Z</dcterms:modified>
</cp:coreProperties>
</file>