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600C0">
        <w:rPr>
          <w:rFonts w:eastAsia="Times New Roman" w:cs="Times New Roman"/>
          <w:b/>
          <w:szCs w:val="20"/>
        </w:rPr>
        <w:t>South Carolina General Assembly</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00C0">
        <w:rPr>
          <w:rFonts w:eastAsia="Times New Roman" w:cs="Times New Roman"/>
          <w:szCs w:val="20"/>
        </w:rPr>
        <w:t>121st Session, 2015-2016</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767B39"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A200, R215, S280</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b/>
          <w:szCs w:val="20"/>
        </w:rPr>
        <w:t>STATUS INFORMATION</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szCs w:val="20"/>
        </w:rPr>
        <w:t>General Bill</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szCs w:val="20"/>
        </w:rPr>
        <w:t>Sponsors: Senator Peeler</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szCs w:val="20"/>
        </w:rPr>
        <w:t>Document Path: l:\council\bills\agm\18465ab15.docx</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2015</w:t>
      </w: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16, 2016</w:t>
      </w: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A2193D" w:rsidRDefault="00A2193D"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szCs w:val="20"/>
        </w:rPr>
        <w:t>Summary: General and mechanical contractors</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9600C0" w:rsidP="009600C0">
      <w:pPr>
        <w:widowControl w:val="0"/>
        <w:tabs>
          <w:tab w:val="center" w:pos="590"/>
          <w:tab w:val="center" w:pos="1440"/>
          <w:tab w:val="left" w:pos="1872"/>
          <w:tab w:val="left" w:pos="9187"/>
        </w:tabs>
        <w:rPr>
          <w:rFonts w:eastAsia="Times New Roman" w:cs="Times New Roman"/>
          <w:szCs w:val="20"/>
        </w:rPr>
      </w:pPr>
      <w:r w:rsidRPr="009600C0">
        <w:rPr>
          <w:rFonts w:eastAsia="Times New Roman" w:cs="Times New Roman"/>
          <w:b/>
          <w:szCs w:val="20"/>
        </w:rPr>
        <w:t>HISTORY OF LEGISLATIVE ACTIONS</w:t>
      </w:r>
    </w:p>
    <w:p w:rsidR="009600C0" w:rsidRPr="009600C0" w:rsidRDefault="009600C0" w:rsidP="009600C0">
      <w:pPr>
        <w:widowControl w:val="0"/>
        <w:tabs>
          <w:tab w:val="center" w:pos="590"/>
          <w:tab w:val="center" w:pos="1440"/>
          <w:tab w:val="left" w:pos="1872"/>
          <w:tab w:val="left" w:pos="9187"/>
        </w:tabs>
        <w:rPr>
          <w:rFonts w:eastAsia="Times New Roman" w:cs="Times New Roman"/>
          <w:szCs w:val="20"/>
        </w:rPr>
      </w:pPr>
    </w:p>
    <w:p w:rsidR="009600C0" w:rsidRPr="009600C0" w:rsidRDefault="009600C0" w:rsidP="009600C0">
      <w:pPr>
        <w:widowControl w:val="0"/>
        <w:tabs>
          <w:tab w:val="center" w:pos="590"/>
          <w:tab w:val="center" w:pos="1440"/>
          <w:tab w:val="left" w:pos="1872"/>
          <w:tab w:val="left" w:pos="9187"/>
        </w:tabs>
        <w:rPr>
          <w:rFonts w:eastAsia="Times New Roman" w:cs="Times New Roman"/>
          <w:szCs w:val="20"/>
        </w:rPr>
      </w:pPr>
      <w:r w:rsidRPr="009600C0">
        <w:rPr>
          <w:rFonts w:eastAsia="Times New Roman" w:cs="Times New Roman"/>
          <w:szCs w:val="20"/>
          <w:u w:val="single"/>
        </w:rPr>
        <w:tab/>
        <w:t>Date</w:t>
      </w:r>
      <w:r w:rsidRPr="009600C0">
        <w:rPr>
          <w:rFonts w:eastAsia="Times New Roman" w:cs="Times New Roman"/>
          <w:szCs w:val="20"/>
          <w:u w:val="single"/>
        </w:rPr>
        <w:tab/>
        <w:t>Body</w:t>
      </w:r>
      <w:r w:rsidRPr="009600C0">
        <w:rPr>
          <w:rFonts w:eastAsia="Times New Roman" w:cs="Times New Roman"/>
          <w:szCs w:val="20"/>
          <w:u w:val="single"/>
        </w:rPr>
        <w:tab/>
        <w:t>Action Description with journal page number</w:t>
      </w:r>
      <w:r w:rsidRPr="009600C0">
        <w:rPr>
          <w:rFonts w:eastAsia="Times New Roman" w:cs="Times New Roman"/>
          <w:szCs w:val="20"/>
          <w:u w:val="single"/>
        </w:rPr>
        <w:tab/>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E513F8">
        <w:rPr>
          <w:rFonts w:cs="Times New Roman"/>
        </w:rPr>
        <w:t>(</w:t>
      </w:r>
      <w:hyperlink r:id="rId6" w:history="1">
        <w:r w:rsidRPr="00851194">
          <w:rPr>
            <w:rStyle w:val="Hyperlink"/>
            <w:rFonts w:cs="Times New Roman"/>
          </w:rPr>
          <w:t>Senate Journal</w:t>
        </w:r>
        <w:r w:rsidRPr="00851194">
          <w:rPr>
            <w:rStyle w:val="Hyperlink"/>
            <w:rFonts w:cs="Times New Roman"/>
          </w:rPr>
          <w:noBreakHyphen/>
          <w:t>page 166</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E513F8">
        <w:rPr>
          <w:rFonts w:cs="Times New Roman"/>
        </w:rPr>
        <w:t>Referred to C</w:t>
      </w:r>
      <w:r>
        <w:rPr>
          <w:rFonts w:cs="Times New Roman"/>
        </w:rPr>
        <w:t xml:space="preserve">ommittee on </w:t>
      </w:r>
      <w:r w:rsidRPr="00E513F8">
        <w:rPr>
          <w:rFonts w:cs="Times New Roman"/>
          <w:b/>
        </w:rPr>
        <w:t>Labor, Commerce and Industry</w:t>
      </w:r>
      <w:r w:rsidRPr="00E513F8">
        <w:rPr>
          <w:rFonts w:cs="Times New Roman"/>
        </w:rPr>
        <w:t xml:space="preserve"> (</w:t>
      </w:r>
      <w:hyperlink r:id="rId7" w:history="1">
        <w:r w:rsidRPr="00851194">
          <w:rPr>
            <w:rStyle w:val="Hyperlink"/>
            <w:rFonts w:cs="Times New Roman"/>
          </w:rPr>
          <w:t>Senate Journal</w:t>
        </w:r>
        <w:r w:rsidRPr="00851194">
          <w:rPr>
            <w:rStyle w:val="Hyperlink"/>
            <w:rFonts w:cs="Times New Roman"/>
          </w:rPr>
          <w:noBreakHyphen/>
          <w:t>page 166</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E513F8">
        <w:rPr>
          <w:rFonts w:cs="Times New Roman"/>
        </w:rPr>
        <w:t xml:space="preserve">Committee report: </w:t>
      </w:r>
      <w:r>
        <w:rPr>
          <w:rFonts w:cs="Times New Roman"/>
        </w:rPr>
        <w:t xml:space="preserve">Favorable with amendment </w:t>
      </w:r>
      <w:r w:rsidRPr="00E513F8">
        <w:rPr>
          <w:rFonts w:cs="Times New Roman"/>
          <w:b/>
        </w:rPr>
        <w:t>Labor, Commerce and Industry</w:t>
      </w:r>
      <w:r w:rsidRPr="00E513F8">
        <w:rPr>
          <w:rFonts w:cs="Times New Roman"/>
        </w:rPr>
        <w:t xml:space="preserve"> (</w:t>
      </w:r>
      <w:hyperlink r:id="rId8" w:history="1">
        <w:r w:rsidRPr="00851194">
          <w:rPr>
            <w:rStyle w:val="Hyperlink"/>
            <w:rFonts w:cs="Times New Roman"/>
          </w:rPr>
          <w:t>Senate Journal</w:t>
        </w:r>
        <w:r w:rsidRPr="00851194">
          <w:rPr>
            <w:rStyle w:val="Hyperlink"/>
            <w:rFonts w:cs="Times New Roman"/>
          </w:rPr>
          <w:noBreakHyphen/>
          <w:t>page 13</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1/29/2016</w:t>
      </w:r>
      <w:r>
        <w:rPr>
          <w:rFonts w:cs="Times New Roman"/>
        </w:rPr>
        <w:tab/>
      </w:r>
      <w:r>
        <w:rPr>
          <w:rFonts w:cs="Times New Roman"/>
        </w:rPr>
        <w:tab/>
      </w:r>
      <w:r w:rsidRPr="00E513F8">
        <w:rPr>
          <w:rFonts w:cs="Times New Roman"/>
        </w:rPr>
        <w:t>Scrivener's error corrected</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E513F8">
        <w:rPr>
          <w:rFonts w:cs="Times New Roman"/>
        </w:rPr>
        <w:t>Committee Amendment Adopted (</w:t>
      </w:r>
      <w:hyperlink r:id="rId9" w:history="1">
        <w:r w:rsidRPr="00851194">
          <w:rPr>
            <w:rStyle w:val="Hyperlink"/>
            <w:rFonts w:cs="Times New Roman"/>
          </w:rPr>
          <w:t>Senate Journal</w:t>
        </w:r>
        <w:r w:rsidRPr="00851194">
          <w:rPr>
            <w:rStyle w:val="Hyperlink"/>
            <w:rFonts w:cs="Times New Roman"/>
          </w:rPr>
          <w:noBreakHyphen/>
          <w:t>page 12</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E513F8">
        <w:rPr>
          <w:rFonts w:cs="Times New Roman"/>
        </w:rPr>
        <w:t>Read second time (</w:t>
      </w:r>
      <w:hyperlink r:id="rId10" w:history="1">
        <w:r w:rsidRPr="00851194">
          <w:rPr>
            <w:rStyle w:val="Hyperlink"/>
            <w:rFonts w:cs="Times New Roman"/>
          </w:rPr>
          <w:t>Senate Journal</w:t>
        </w:r>
        <w:r w:rsidRPr="00851194">
          <w:rPr>
            <w:rStyle w:val="Hyperlink"/>
            <w:rFonts w:cs="Times New Roman"/>
          </w:rPr>
          <w:noBreakHyphen/>
          <w:t>page 12</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E513F8">
        <w:rPr>
          <w:rFonts w:cs="Times New Roman"/>
        </w:rPr>
        <w:t>Roll call Ayes</w:t>
      </w:r>
      <w:r>
        <w:rPr>
          <w:rFonts w:cs="Times New Roman"/>
        </w:rPr>
        <w:noBreakHyphen/>
      </w:r>
      <w:r w:rsidRPr="00E513F8">
        <w:rPr>
          <w:rFonts w:cs="Times New Roman"/>
        </w:rPr>
        <w:t>35  Nays</w:t>
      </w:r>
      <w:r>
        <w:rPr>
          <w:rFonts w:cs="Times New Roman"/>
        </w:rPr>
        <w:noBreakHyphen/>
      </w:r>
      <w:r w:rsidRPr="00E513F8">
        <w:rPr>
          <w:rFonts w:cs="Times New Roman"/>
        </w:rPr>
        <w:t>3 (</w:t>
      </w:r>
      <w:hyperlink r:id="rId11" w:history="1">
        <w:r w:rsidRPr="00851194">
          <w:rPr>
            <w:rStyle w:val="Hyperlink"/>
            <w:rFonts w:cs="Times New Roman"/>
          </w:rPr>
          <w:t>Senate Journal</w:t>
        </w:r>
        <w:r w:rsidRPr="00851194">
          <w:rPr>
            <w:rStyle w:val="Hyperlink"/>
            <w:rFonts w:cs="Times New Roman"/>
          </w:rPr>
          <w:noBreakHyphen/>
          <w:t>page 12</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2/5/2016</w:t>
      </w:r>
      <w:r>
        <w:rPr>
          <w:rFonts w:cs="Times New Roman"/>
        </w:rPr>
        <w:tab/>
      </w:r>
      <w:r>
        <w:rPr>
          <w:rFonts w:cs="Times New Roman"/>
        </w:rPr>
        <w:tab/>
      </w:r>
      <w:r w:rsidRPr="00E513F8">
        <w:rPr>
          <w:rFonts w:cs="Times New Roman"/>
        </w:rPr>
        <w:t>Scrivener's error corrected</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E513F8">
        <w:rPr>
          <w:rFonts w:cs="Times New Roman"/>
        </w:rPr>
        <w:t>Re</w:t>
      </w:r>
      <w:r>
        <w:rPr>
          <w:rFonts w:cs="Times New Roman"/>
        </w:rPr>
        <w:t xml:space="preserve">ad third time and sent to House </w:t>
      </w:r>
      <w:r w:rsidRPr="00E513F8">
        <w:rPr>
          <w:rFonts w:cs="Times New Roman"/>
        </w:rPr>
        <w:t>(</w:t>
      </w:r>
      <w:hyperlink r:id="rId12" w:history="1">
        <w:r w:rsidRPr="00851194">
          <w:rPr>
            <w:rStyle w:val="Hyperlink"/>
            <w:rFonts w:cs="Times New Roman"/>
          </w:rPr>
          <w:t>Senate Journal</w:t>
        </w:r>
        <w:r w:rsidRPr="00851194">
          <w:rPr>
            <w:rStyle w:val="Hyperlink"/>
            <w:rFonts w:cs="Times New Roman"/>
          </w:rPr>
          <w:noBreakHyphen/>
          <w:t>page 10</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E513F8">
        <w:rPr>
          <w:rFonts w:cs="Times New Roman"/>
        </w:rPr>
        <w:t>Roll call Ayes</w:t>
      </w:r>
      <w:r>
        <w:rPr>
          <w:rFonts w:cs="Times New Roman"/>
        </w:rPr>
        <w:noBreakHyphen/>
      </w:r>
      <w:r w:rsidRPr="00E513F8">
        <w:rPr>
          <w:rFonts w:cs="Times New Roman"/>
        </w:rPr>
        <w:t>34  Nays</w:t>
      </w:r>
      <w:r>
        <w:rPr>
          <w:rFonts w:cs="Times New Roman"/>
        </w:rPr>
        <w:noBreakHyphen/>
      </w:r>
      <w:r w:rsidRPr="00E513F8">
        <w:rPr>
          <w:rFonts w:cs="Times New Roman"/>
        </w:rPr>
        <w:t>0 (</w:t>
      </w:r>
      <w:hyperlink r:id="rId13" w:history="1">
        <w:r w:rsidRPr="00851194">
          <w:rPr>
            <w:rStyle w:val="Hyperlink"/>
            <w:rFonts w:cs="Times New Roman"/>
          </w:rPr>
          <w:t>Senate Journal</w:t>
        </w:r>
        <w:r w:rsidRPr="00851194">
          <w:rPr>
            <w:rStyle w:val="Hyperlink"/>
            <w:rFonts w:cs="Times New Roman"/>
          </w:rPr>
          <w:noBreakHyphen/>
          <w:t>page 10</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513F8">
        <w:rPr>
          <w:rFonts w:cs="Times New Roman"/>
        </w:rPr>
        <w:t>Introduced and read first time (</w:t>
      </w:r>
      <w:hyperlink r:id="rId14" w:history="1">
        <w:r w:rsidRPr="00851194">
          <w:rPr>
            <w:rStyle w:val="Hyperlink"/>
            <w:rFonts w:cs="Times New Roman"/>
          </w:rPr>
          <w:t>House Journal</w:t>
        </w:r>
        <w:r w:rsidRPr="00851194">
          <w:rPr>
            <w:rStyle w:val="Hyperlink"/>
            <w:rFonts w:cs="Times New Roman"/>
          </w:rPr>
          <w:noBreakHyphen/>
          <w:t>page 3</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513F8">
        <w:rPr>
          <w:rFonts w:cs="Times New Roman"/>
        </w:rPr>
        <w:t>Referred to C</w:t>
      </w:r>
      <w:r>
        <w:rPr>
          <w:rFonts w:cs="Times New Roman"/>
        </w:rPr>
        <w:t xml:space="preserve">ommittee on </w:t>
      </w:r>
      <w:r w:rsidRPr="00E513F8">
        <w:rPr>
          <w:rFonts w:cs="Times New Roman"/>
          <w:b/>
        </w:rPr>
        <w:t>Labor, Commerce and Industry</w:t>
      </w:r>
      <w:r w:rsidRPr="00E513F8">
        <w:rPr>
          <w:rFonts w:cs="Times New Roman"/>
        </w:rPr>
        <w:t xml:space="preserve"> (</w:t>
      </w:r>
      <w:hyperlink r:id="rId15" w:history="1">
        <w:r w:rsidRPr="00851194">
          <w:rPr>
            <w:rStyle w:val="Hyperlink"/>
            <w:rFonts w:cs="Times New Roman"/>
          </w:rPr>
          <w:t>House Journal</w:t>
        </w:r>
        <w:r w:rsidRPr="00851194">
          <w:rPr>
            <w:rStyle w:val="Hyperlink"/>
            <w:rFonts w:cs="Times New Roman"/>
          </w:rPr>
          <w:noBreakHyphen/>
          <w:t>page 3</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E513F8">
        <w:rPr>
          <w:rFonts w:cs="Times New Roman"/>
        </w:rPr>
        <w:t xml:space="preserve">Committee report: </w:t>
      </w:r>
      <w:r>
        <w:rPr>
          <w:rFonts w:cs="Times New Roman"/>
        </w:rPr>
        <w:t xml:space="preserve">Favorable with amendment </w:t>
      </w:r>
      <w:r w:rsidRPr="00E513F8">
        <w:rPr>
          <w:rFonts w:cs="Times New Roman"/>
          <w:b/>
        </w:rPr>
        <w:t>Labor, Commerce and Industry</w:t>
      </w:r>
      <w:r w:rsidRPr="00E513F8">
        <w:rPr>
          <w:rFonts w:cs="Times New Roman"/>
        </w:rPr>
        <w:t xml:space="preserve"> (</w:t>
      </w:r>
      <w:hyperlink r:id="rId16" w:history="1">
        <w:r w:rsidRPr="00851194">
          <w:rPr>
            <w:rStyle w:val="Hyperlink"/>
            <w:rFonts w:cs="Times New Roman"/>
          </w:rPr>
          <w:t>House Journal</w:t>
        </w:r>
        <w:r w:rsidRPr="00851194">
          <w:rPr>
            <w:rStyle w:val="Hyperlink"/>
            <w:rFonts w:cs="Times New Roman"/>
          </w:rPr>
          <w:noBreakHyphen/>
          <w:t>page 10</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5/20/2016</w:t>
      </w:r>
      <w:r>
        <w:rPr>
          <w:rFonts w:cs="Times New Roman"/>
        </w:rPr>
        <w:tab/>
      </w:r>
      <w:r>
        <w:rPr>
          <w:rFonts w:cs="Times New Roman"/>
        </w:rPr>
        <w:tab/>
      </w:r>
      <w:r w:rsidRPr="00E513F8">
        <w:rPr>
          <w:rFonts w:cs="Times New Roman"/>
        </w:rPr>
        <w:t>Scrivener's error corrected</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513F8">
        <w:rPr>
          <w:rFonts w:cs="Times New Roman"/>
        </w:rPr>
        <w:t>Amended (</w:t>
      </w:r>
      <w:hyperlink r:id="rId17" w:history="1">
        <w:r w:rsidRPr="00851194">
          <w:rPr>
            <w:rStyle w:val="Hyperlink"/>
            <w:rFonts w:cs="Times New Roman"/>
          </w:rPr>
          <w:t>House Journal</w:t>
        </w:r>
        <w:r w:rsidRPr="00851194">
          <w:rPr>
            <w:rStyle w:val="Hyperlink"/>
            <w:rFonts w:cs="Times New Roman"/>
          </w:rPr>
          <w:noBreakHyphen/>
          <w:t>page 55</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513F8">
        <w:rPr>
          <w:rFonts w:cs="Times New Roman"/>
        </w:rPr>
        <w:t>Read second time (</w:t>
      </w:r>
      <w:hyperlink r:id="rId18" w:history="1">
        <w:r w:rsidRPr="00851194">
          <w:rPr>
            <w:rStyle w:val="Hyperlink"/>
            <w:rFonts w:cs="Times New Roman"/>
          </w:rPr>
          <w:t>House Journal</w:t>
        </w:r>
        <w:r w:rsidRPr="00851194">
          <w:rPr>
            <w:rStyle w:val="Hyperlink"/>
            <w:rFonts w:cs="Times New Roman"/>
          </w:rPr>
          <w:noBreakHyphen/>
          <w:t>page 55</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E513F8">
        <w:rPr>
          <w:rFonts w:cs="Times New Roman"/>
        </w:rPr>
        <w:t>Roll call Yeas</w:t>
      </w:r>
      <w:r>
        <w:rPr>
          <w:rFonts w:cs="Times New Roman"/>
        </w:rPr>
        <w:noBreakHyphen/>
      </w:r>
      <w:r w:rsidRPr="00E513F8">
        <w:rPr>
          <w:rFonts w:cs="Times New Roman"/>
        </w:rPr>
        <w:t>100  Nays</w:t>
      </w:r>
      <w:r>
        <w:rPr>
          <w:rFonts w:cs="Times New Roman"/>
        </w:rPr>
        <w:noBreakHyphen/>
      </w:r>
      <w:r w:rsidRPr="00E513F8">
        <w:rPr>
          <w:rFonts w:cs="Times New Roman"/>
        </w:rPr>
        <w:t>0 (</w:t>
      </w:r>
      <w:hyperlink r:id="rId19" w:history="1">
        <w:r w:rsidRPr="00851194">
          <w:rPr>
            <w:rStyle w:val="Hyperlink"/>
            <w:rFonts w:cs="Times New Roman"/>
          </w:rPr>
          <w:t>House Journal</w:t>
        </w:r>
        <w:r w:rsidRPr="00851194">
          <w:rPr>
            <w:rStyle w:val="Hyperlink"/>
            <w:rFonts w:cs="Times New Roman"/>
          </w:rPr>
          <w:noBreakHyphen/>
          <w:t>page 57</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E513F8">
        <w:rPr>
          <w:rFonts w:cs="Times New Roman"/>
        </w:rPr>
        <w:t>Ret</w:t>
      </w:r>
      <w:r>
        <w:rPr>
          <w:rFonts w:cs="Times New Roman"/>
        </w:rPr>
        <w:t xml:space="preserve">urned to Senate with amendments </w:t>
      </w:r>
      <w:r w:rsidRPr="00E513F8">
        <w:rPr>
          <w:rFonts w:cs="Times New Roman"/>
        </w:rPr>
        <w:t>(</w:t>
      </w:r>
      <w:hyperlink r:id="rId20" w:history="1">
        <w:r w:rsidRPr="00851194">
          <w:rPr>
            <w:rStyle w:val="Hyperlink"/>
            <w:rFonts w:cs="Times New Roman"/>
          </w:rPr>
          <w:t>House Journal</w:t>
        </w:r>
        <w:r w:rsidRPr="00851194">
          <w:rPr>
            <w:rStyle w:val="Hyperlink"/>
            <w:rFonts w:cs="Times New Roman"/>
          </w:rPr>
          <w:noBreakHyphen/>
          <w:t>page 12</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E513F8">
        <w:rPr>
          <w:rFonts w:cs="Times New Roman"/>
        </w:rPr>
        <w:t xml:space="preserve">Concurred </w:t>
      </w:r>
      <w:r>
        <w:rPr>
          <w:rFonts w:cs="Times New Roman"/>
        </w:rPr>
        <w:t xml:space="preserve">in House amendment and enrolled </w:t>
      </w:r>
      <w:r w:rsidRPr="00E513F8">
        <w:rPr>
          <w:rFonts w:cs="Times New Roman"/>
        </w:rPr>
        <w:t>(</w:t>
      </w:r>
      <w:hyperlink r:id="rId21" w:history="1">
        <w:r w:rsidRPr="00851194">
          <w:rPr>
            <w:rStyle w:val="Hyperlink"/>
            <w:rFonts w:cs="Times New Roman"/>
          </w:rPr>
          <w:t>Senate Journal</w:t>
        </w:r>
        <w:r w:rsidRPr="00851194">
          <w:rPr>
            <w:rStyle w:val="Hyperlink"/>
            <w:rFonts w:cs="Times New Roman"/>
          </w:rPr>
          <w:noBreakHyphen/>
          <w:t>page 63</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E513F8">
        <w:rPr>
          <w:rFonts w:cs="Times New Roman"/>
        </w:rPr>
        <w:t>Roll call Ayes</w:t>
      </w:r>
      <w:r>
        <w:rPr>
          <w:rFonts w:cs="Times New Roman"/>
        </w:rPr>
        <w:noBreakHyphen/>
      </w:r>
      <w:r w:rsidRPr="00E513F8">
        <w:rPr>
          <w:rFonts w:cs="Times New Roman"/>
        </w:rPr>
        <w:t>41  Nays</w:t>
      </w:r>
      <w:r>
        <w:rPr>
          <w:rFonts w:cs="Times New Roman"/>
        </w:rPr>
        <w:noBreakHyphen/>
      </w:r>
      <w:r w:rsidRPr="00E513F8">
        <w:rPr>
          <w:rFonts w:cs="Times New Roman"/>
        </w:rPr>
        <w:t>0 (</w:t>
      </w:r>
      <w:hyperlink r:id="rId22" w:history="1">
        <w:r w:rsidRPr="00851194">
          <w:rPr>
            <w:rStyle w:val="Hyperlink"/>
            <w:rFonts w:cs="Times New Roman"/>
          </w:rPr>
          <w:t>Senate Journal</w:t>
        </w:r>
        <w:r w:rsidRPr="00851194">
          <w:rPr>
            <w:rStyle w:val="Hyperlink"/>
            <w:rFonts w:cs="Times New Roman"/>
          </w:rPr>
          <w:noBreakHyphen/>
          <w:t>page 63</w:t>
        </w:r>
      </w:hyperlink>
      <w:r w:rsidRPr="00E513F8">
        <w:rPr>
          <w:rFonts w:cs="Times New Roman"/>
        </w:rPr>
        <w:t>)</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E513F8">
        <w:rPr>
          <w:rFonts w:cs="Times New Roman"/>
        </w:rPr>
        <w:t>Ratified R 215</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E513F8">
        <w:rPr>
          <w:rFonts w:cs="Times New Roman"/>
        </w:rPr>
        <w:t>Signed By Governor</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E513F8">
        <w:rPr>
          <w:rFonts w:cs="Times New Roman"/>
        </w:rPr>
        <w:t>Effective date 06/03/16</w:t>
      </w:r>
    </w:p>
    <w:p w:rsidR="00767B39" w:rsidRDefault="00767B39" w:rsidP="00767B3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E513F8">
        <w:rPr>
          <w:rFonts w:cs="Times New Roman"/>
        </w:rPr>
        <w:t>Act No</w:t>
      </w:r>
      <w:r>
        <w:rPr>
          <w:rFonts w:cs="Times New Roman"/>
        </w:rPr>
        <w:t>. </w:t>
      </w:r>
      <w:r w:rsidRPr="00E513F8">
        <w:rPr>
          <w:rFonts w:cs="Times New Roman"/>
        </w:rPr>
        <w:t>200</w:t>
      </w:r>
    </w:p>
    <w:p w:rsidR="00767B39" w:rsidRDefault="00767B39" w:rsidP="00767B39">
      <w:pPr>
        <w:widowControl w:val="0"/>
        <w:tabs>
          <w:tab w:val="right" w:pos="1008"/>
          <w:tab w:val="left" w:pos="1152"/>
          <w:tab w:val="left" w:pos="1872"/>
          <w:tab w:val="left" w:pos="9187"/>
        </w:tabs>
        <w:ind w:left="2088" w:hanging="2088"/>
        <w:rPr>
          <w:rFonts w:cs="Times New Roman"/>
        </w:rPr>
      </w:pPr>
    </w:p>
    <w:p w:rsidR="009600C0" w:rsidRPr="009600C0" w:rsidRDefault="009600C0" w:rsidP="009600C0">
      <w:pPr>
        <w:widowControl w:val="0"/>
        <w:tabs>
          <w:tab w:val="right" w:pos="1008"/>
          <w:tab w:val="left" w:pos="1152"/>
          <w:tab w:val="left" w:pos="1872"/>
          <w:tab w:val="left" w:pos="9187"/>
        </w:tabs>
        <w:ind w:left="2088" w:hanging="2088"/>
        <w:rPr>
          <w:rFonts w:eastAsia="Times New Roman" w:cs="Times New Roman"/>
          <w:szCs w:val="20"/>
        </w:rPr>
      </w:pPr>
      <w:r w:rsidRPr="009600C0">
        <w:rPr>
          <w:rFonts w:eastAsia="Times New Roman" w:cs="Times New Roman"/>
          <w:szCs w:val="20"/>
        </w:rPr>
        <w:t xml:space="preserve">View the latest </w:t>
      </w:r>
      <w:hyperlink r:id="rId23" w:history="1">
        <w:r w:rsidRPr="009600C0">
          <w:rPr>
            <w:rFonts w:eastAsia="Times New Roman" w:cs="Times New Roman"/>
            <w:color w:val="0000FF" w:themeColor="hyperlink"/>
            <w:szCs w:val="20"/>
            <w:u w:val="single"/>
          </w:rPr>
          <w:t>legislative information</w:t>
        </w:r>
      </w:hyperlink>
      <w:r w:rsidRPr="009600C0">
        <w:rPr>
          <w:rFonts w:eastAsia="Times New Roman" w:cs="Times New Roman"/>
          <w:szCs w:val="20"/>
        </w:rPr>
        <w:t xml:space="preserve"> at the website</w:t>
      </w:r>
    </w:p>
    <w:p w:rsidR="009600C0" w:rsidRPr="009600C0" w:rsidRDefault="009600C0" w:rsidP="009600C0">
      <w:pPr>
        <w:widowControl w:val="0"/>
        <w:tabs>
          <w:tab w:val="right" w:pos="1008"/>
          <w:tab w:val="left" w:pos="1152"/>
          <w:tab w:val="left" w:pos="1872"/>
          <w:tab w:val="left" w:pos="9187"/>
        </w:tabs>
        <w:ind w:left="2088" w:hanging="2088"/>
        <w:rPr>
          <w:rFonts w:eastAsia="Times New Roman" w:cs="Times New Roman"/>
          <w:szCs w:val="20"/>
        </w:rPr>
      </w:pPr>
    </w:p>
    <w:p w:rsidR="009600C0" w:rsidRPr="009600C0" w:rsidRDefault="009600C0" w:rsidP="009600C0">
      <w:pPr>
        <w:widowControl w:val="0"/>
        <w:tabs>
          <w:tab w:val="right" w:pos="1008"/>
          <w:tab w:val="left" w:pos="1152"/>
          <w:tab w:val="left" w:pos="1872"/>
          <w:tab w:val="left" w:pos="9187"/>
        </w:tabs>
        <w:ind w:left="2088" w:hanging="2088"/>
        <w:rPr>
          <w:rFonts w:eastAsia="Times New Roman" w:cs="Times New Roman"/>
          <w:szCs w:val="20"/>
        </w:rPr>
      </w:pP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00C0">
        <w:rPr>
          <w:rFonts w:eastAsia="Times New Roman" w:cs="Times New Roman"/>
          <w:b/>
          <w:szCs w:val="20"/>
        </w:rPr>
        <w:lastRenderedPageBreak/>
        <w:t>VERSIONS OF THIS BILL</w:t>
      </w:r>
    </w:p>
    <w:p w:rsidR="009600C0" w:rsidRPr="009600C0" w:rsidRDefault="009600C0"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00C0" w:rsidRPr="009600C0" w:rsidRDefault="00851194" w:rsidP="00960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600C0" w:rsidRPr="009600C0">
          <w:rPr>
            <w:rFonts w:eastAsia="Times New Roman" w:cs="Times New Roman"/>
            <w:color w:val="0000FF" w:themeColor="hyperlink"/>
            <w:szCs w:val="20"/>
            <w:u w:val="single"/>
          </w:rPr>
          <w:t>1/13/2015</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600C0" w:rsidRPr="009600C0">
          <w:rPr>
            <w:rFonts w:eastAsia="Times New Roman" w:cs="Times New Roman"/>
            <w:color w:val="0000FF" w:themeColor="hyperlink"/>
            <w:szCs w:val="20"/>
            <w:u w:val="single"/>
          </w:rPr>
          <w:t>1/28/2016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600C0" w:rsidRPr="009600C0">
          <w:rPr>
            <w:rFonts w:eastAsia="Times New Roman" w:cs="Times New Roman"/>
            <w:color w:val="0000FF" w:themeColor="hyperlink"/>
            <w:szCs w:val="20"/>
            <w:u w:val="single"/>
          </w:rPr>
          <w:t>1/29/2016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600C0" w:rsidRPr="009600C0">
          <w:rPr>
            <w:rFonts w:eastAsia="Times New Roman" w:cs="Times New Roman"/>
            <w:color w:val="0000FF" w:themeColor="hyperlink"/>
            <w:szCs w:val="20"/>
            <w:u w:val="single"/>
          </w:rPr>
          <w:t>2/4/2016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600C0" w:rsidRPr="009600C0">
          <w:rPr>
            <w:rFonts w:eastAsia="Times New Roman" w:cs="Times New Roman"/>
            <w:color w:val="0000FF" w:themeColor="hyperlink"/>
            <w:szCs w:val="20"/>
            <w:u w:val="single"/>
          </w:rPr>
          <w:t>2/5/2016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600C0" w:rsidRPr="009600C0">
          <w:rPr>
            <w:rFonts w:eastAsia="Times New Roman" w:cs="Times New Roman"/>
            <w:color w:val="0000FF" w:themeColor="hyperlink"/>
            <w:szCs w:val="20"/>
            <w:u w:val="single"/>
          </w:rPr>
          <w:t>5/19/2016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600C0" w:rsidRPr="009600C0">
          <w:rPr>
            <w:rFonts w:eastAsia="Times New Roman" w:cs="Times New Roman"/>
            <w:color w:val="0000FF" w:themeColor="hyperlink"/>
            <w:szCs w:val="20"/>
            <w:u w:val="single"/>
          </w:rPr>
          <w:t>5/20/2016</w:t>
        </w:r>
      </w:hyperlink>
    </w:p>
    <w:p w:rsidR="009600C0" w:rsidRPr="009600C0" w:rsidRDefault="00851194"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600C0" w:rsidRPr="009600C0">
          <w:rPr>
            <w:rFonts w:eastAsia="Times New Roman" w:cs="Times New Roman"/>
            <w:color w:val="0000FF" w:themeColor="hyperlink"/>
            <w:szCs w:val="20"/>
            <w:u w:val="single"/>
          </w:rPr>
          <w:t>5/24/2016</w:t>
        </w:r>
      </w:hyperlink>
    </w:p>
    <w:p w:rsidR="009600C0" w:rsidRPr="009600C0" w:rsidRDefault="009600C0"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600C0" w:rsidRDefault="009600C0" w:rsidP="00960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00C0" w:rsidSect="009600C0">
          <w:pgSz w:w="12240" w:h="15840" w:code="1"/>
          <w:pgMar w:top="1080" w:right="1440" w:bottom="1080" w:left="1440" w:header="720" w:footer="720" w:gutter="0"/>
          <w:pgNumType w:start="1"/>
          <w:cols w:space="720"/>
          <w:noEndnote/>
          <w:docGrid w:linePitch="360"/>
        </w:sectPr>
      </w:pP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(A200, R215, S280)</w:t>
      </w:r>
    </w:p>
    <w:p w:rsidR="006107E8" w:rsidRPr="008836A5"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07E8" w:rsidRPr="009600C0"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600C0">
        <w:rPr>
          <w:rFonts w:cs="Times New Roman"/>
          <w:b/>
          <w:color w:val="000000" w:themeColor="text1"/>
          <w:szCs w:val="36"/>
        </w:rPr>
        <w:t xml:space="preserve">AN ACT </w:t>
      </w:r>
      <w:bookmarkStart w:id="1" w:name="titleend"/>
      <w:bookmarkEnd w:id="1"/>
      <w:r w:rsidRPr="009600C0">
        <w:rPr>
          <w:rFonts w:cs="Times New Roman"/>
          <w:b/>
        </w:rPr>
        <w:t>TO AMEND SECTION 40</w:t>
      </w:r>
      <w:r w:rsidRPr="009600C0">
        <w:rPr>
          <w:rFonts w:cs="Times New Roman"/>
          <w:b/>
        </w:rPr>
        <w:noBreakHyphen/>
        <w:t>11</w:t>
      </w:r>
      <w:r w:rsidRPr="009600C0">
        <w:rPr>
          <w:rFonts w:cs="Times New Roman"/>
          <w:b/>
        </w:rPr>
        <w:noBreakHyphen/>
        <w:t>260, CODE OF LAWS OF SOUTH CAROLINA, 1976, RELATING TO FINANCIAL STATEMENTS AND NET WORTH REQUIREMENTS FOR GENERAL CONTRACTORS AND MECHANICAL CONTRACTORS, SO AS TO REVISE THE NET WORTH REQUIREMENTS FOR LICENSURE AND LICENSE RENEWAL, AND TO DELETE OBSOLETE LANGUAGE; AND TO AMEND SECTION 40</w:t>
      </w:r>
      <w:r w:rsidRPr="009600C0">
        <w:rPr>
          <w:rFonts w:cs="Times New Roman"/>
          <w:b/>
        </w:rPr>
        <w:noBreakHyphen/>
        <w:t>11</w:t>
      </w:r>
      <w:r w:rsidRPr="009600C0">
        <w:rPr>
          <w:rFonts w:cs="Times New Roman"/>
          <w:b/>
        </w:rPr>
        <w:noBreakHyphen/>
        <w:t>360, RELATING TO EXEMPTIONS FROM CONTRACTOR LICENSURE REQUIREMENTS, SO AS TO INCLUDE CONTRACTOR SERVICES CONCERNING THE INSTALLATION, REPAIR, AND MAINTENANCE OF BILLBOARD SIGNS EXCEPT TO REQUIRE LICENSED ELECTRICAL CONTRACTORS MUST PERFORM FINAL CONNECTIONS TO BRANCH CIRCUIT CONDUCTORS.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Be it enacted by the General Assembly of the State of South Carolina:</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0400D"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and mechanical contractor financial requirements revised</w:t>
      </w:r>
    </w:p>
    <w:p w:rsidR="006107E8" w:rsidRPr="00E0400D"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SECTION</w:t>
      </w:r>
      <w:r w:rsidRPr="00ED701B">
        <w:rPr>
          <w:rFonts w:cs="Times New Roman"/>
        </w:rPr>
        <w:tab/>
        <w:t>1.</w:t>
      </w:r>
      <w:r w:rsidRPr="00ED701B">
        <w:rPr>
          <w:rFonts w:cs="Times New Roman"/>
        </w:rPr>
        <w:tab/>
        <w:t>Section 40</w:t>
      </w:r>
      <w:r>
        <w:rPr>
          <w:rFonts w:cs="Times New Roman"/>
        </w:rPr>
        <w:noBreakHyphen/>
      </w:r>
      <w:r w:rsidRPr="00ED701B">
        <w:rPr>
          <w:rFonts w:cs="Times New Roman"/>
        </w:rPr>
        <w:t>11</w:t>
      </w:r>
      <w:r>
        <w:rPr>
          <w:rFonts w:cs="Times New Roman"/>
        </w:rPr>
        <w:noBreakHyphen/>
      </w:r>
      <w:r w:rsidRPr="00ED701B">
        <w:rPr>
          <w:rFonts w:cs="Times New Roman"/>
        </w:rPr>
        <w:t>260 of the 1976 Code is amended to read:</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rPr>
        <w:tab/>
        <w:t>“Section 40</w:t>
      </w:r>
      <w:r>
        <w:rPr>
          <w:rFonts w:cs="Times New Roman"/>
        </w:rPr>
        <w:noBreakHyphen/>
      </w:r>
      <w:r w:rsidRPr="00ED701B">
        <w:rPr>
          <w:rFonts w:cs="Times New Roman"/>
        </w:rPr>
        <w:t>11</w:t>
      </w:r>
      <w:r>
        <w:rPr>
          <w:rFonts w:cs="Times New Roman"/>
        </w:rPr>
        <w:noBreakHyphen/>
      </w:r>
      <w:r w:rsidRPr="00ED701B">
        <w:rPr>
          <w:rFonts w:cs="Times New Roman"/>
        </w:rPr>
        <w:t>260.</w:t>
      </w:r>
      <w:r w:rsidRPr="00ED701B">
        <w:rPr>
          <w:rFonts w:cs="Times New Roman"/>
        </w:rPr>
        <w:tab/>
      </w:r>
      <w:r w:rsidRPr="00ED701B">
        <w:rPr>
          <w:rFonts w:cs="Times New Roman"/>
          <w:color w:val="000000"/>
        </w:rPr>
        <w:t>(A)</w:t>
      </w:r>
      <w:r w:rsidRPr="00ED701B">
        <w:rPr>
          <w:rFonts w:cs="Times New Roman"/>
          <w:color w:val="000000"/>
        </w:rPr>
        <w:tab/>
        <w:t>An applicant for a general contractor</w:t>
      </w:r>
      <w:r w:rsidRPr="00F34124">
        <w:rPr>
          <w:rFonts w:cs="Times New Roman"/>
          <w:color w:val="000000"/>
        </w:rPr>
        <w:t>’</w:t>
      </w:r>
      <w:r w:rsidRPr="00ED701B">
        <w:rPr>
          <w:rFonts w:cs="Times New Roman"/>
          <w:color w:val="000000"/>
        </w:rPr>
        <w:t>s license or a general contractor</w:t>
      </w:r>
      <w:r w:rsidRPr="00F34124">
        <w:rPr>
          <w:rFonts w:cs="Times New Roman"/>
          <w:color w:val="000000"/>
        </w:rPr>
        <w:t>’</w:t>
      </w:r>
      <w:r w:rsidRPr="00ED701B">
        <w:rPr>
          <w:rFonts w:cs="Times New Roman"/>
          <w:color w:val="000000"/>
        </w:rPr>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(1)</w:t>
      </w:r>
      <w:r w:rsidRPr="00ED701B">
        <w:rPr>
          <w:rFonts w:cs="Times New Roman"/>
          <w:color w:val="000000"/>
        </w:rPr>
        <w:tab/>
        <w:t>Group One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$50,000.00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$10,000.00;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(2)</w:t>
      </w:r>
      <w:r w:rsidRPr="00ED701B">
        <w:rPr>
          <w:rFonts w:cs="Times New Roman"/>
          <w:color w:val="000000"/>
        </w:rPr>
        <w:tab/>
        <w:t>Group Two</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$200,000.00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$40,000.00;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(3)</w:t>
      </w:r>
      <w:r w:rsidRPr="00ED701B">
        <w:rPr>
          <w:rFonts w:cs="Times New Roman"/>
          <w:color w:val="000000"/>
        </w:rPr>
        <w:tab/>
        <w:t>Group Three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$500,000.00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$100,000.00;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(4)</w:t>
      </w:r>
      <w:r w:rsidRPr="00ED701B">
        <w:rPr>
          <w:rFonts w:cs="Times New Roman"/>
          <w:color w:val="000000"/>
        </w:rPr>
        <w:tab/>
        <w:t>Group Four</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$1,500,000.00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$175,000.00;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compiled by a licensed certified public accountant or a licensed public accountant in accordance with GAAP, including all disclosures required by GAAP indicating a required net worth of one hundred seventy</w:t>
      </w:r>
      <w:r>
        <w:rPr>
          <w:rFonts w:cs="Times New Roman"/>
          <w:color w:val="000000"/>
        </w:rPr>
        <w:noBreakHyphen/>
      </w:r>
      <w:r w:rsidRPr="00ED701B">
        <w:rPr>
          <w:rFonts w:cs="Times New Roman"/>
          <w:color w:val="000000"/>
        </w:rPr>
        <w:t>five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 indicating a required net worth of one hundred seventy</w:t>
      </w:r>
      <w:r>
        <w:rPr>
          <w:rFonts w:cs="Times New Roman"/>
          <w:color w:val="000000"/>
        </w:rPr>
        <w:noBreakHyphen/>
      </w:r>
      <w:r w:rsidRPr="00ED701B">
        <w:rPr>
          <w:rFonts w:cs="Times New Roman"/>
          <w:color w:val="000000"/>
        </w:rPr>
        <w:t>five thousand dollars, or a financial statement compiled by a licensed certified public accountant or a licensed public accountant in accordance with GAAP, including all disclosures required by GAAP, and indicating a required net worth of one hundred seventy</w:t>
      </w:r>
      <w:r>
        <w:rPr>
          <w:rFonts w:cs="Times New Roman"/>
          <w:color w:val="000000"/>
        </w:rPr>
        <w:noBreakHyphen/>
      </w:r>
      <w:r w:rsidRPr="00ED701B">
        <w:rPr>
          <w:rFonts w:cs="Times New Roman"/>
          <w:color w:val="000000"/>
        </w:rPr>
        <w:t>five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(5)</w:t>
      </w:r>
      <w:r w:rsidRPr="00ED701B">
        <w:rPr>
          <w:rFonts w:cs="Times New Roman"/>
          <w:color w:val="000000"/>
        </w:rPr>
        <w:tab/>
        <w:t>Group Five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unlimited;</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$250,000.00;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audited by a licensed certified public accountant or a licensed public accountant in accordance with GAAP, including all disclosures required by GAAP;</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 financial statement reviewed by a licensed certified public accountant or a licensed public accountant in accordance with GAAP, including all disclosures required by GAAP.</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t>(B)</w:t>
      </w:r>
      <w:r w:rsidRPr="00ED701B">
        <w:rPr>
          <w:rFonts w:cs="Times New Roman"/>
          <w:color w:val="000000"/>
        </w:rPr>
        <w:tab/>
        <w:t>An applicant for a mechanical contractor</w:t>
      </w:r>
      <w:r w:rsidRPr="00F34124">
        <w:rPr>
          <w:rFonts w:cs="Times New Roman"/>
          <w:color w:val="000000"/>
        </w:rPr>
        <w:t>’</w:t>
      </w:r>
      <w:r w:rsidRPr="00ED701B">
        <w:rPr>
          <w:rFonts w:cs="Times New Roman"/>
          <w:color w:val="000000"/>
        </w:rPr>
        <w:t>s license or a mechanical contractor</w:t>
      </w:r>
      <w:r w:rsidRPr="00F34124">
        <w:rPr>
          <w:rFonts w:cs="Times New Roman"/>
          <w:color w:val="000000"/>
        </w:rPr>
        <w:t>’</w:t>
      </w:r>
      <w:r w:rsidRPr="00ED701B">
        <w:rPr>
          <w:rFonts w:cs="Times New Roman"/>
          <w:color w:val="000000"/>
        </w:rPr>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(1)</w:t>
      </w:r>
      <w:r w:rsidRPr="00ED701B">
        <w:rPr>
          <w:rFonts w:cs="Times New Roman"/>
          <w:color w:val="000000"/>
        </w:rPr>
        <w:tab/>
        <w:t>Group One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$17,500.00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$3,500.00;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(2)</w:t>
      </w:r>
      <w:r w:rsidRPr="00ED701B">
        <w:rPr>
          <w:rFonts w:cs="Times New Roman"/>
          <w:color w:val="000000"/>
        </w:rPr>
        <w:tab/>
        <w:t>Group Two</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$50,000.00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$10,000.00;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(3)</w:t>
      </w:r>
      <w:r w:rsidRPr="00ED701B">
        <w:rPr>
          <w:rFonts w:cs="Times New Roman"/>
          <w:color w:val="000000"/>
        </w:rPr>
        <w:tab/>
        <w:t>Group Three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$100,000.00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$20,000.00;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(4)</w:t>
      </w:r>
      <w:r w:rsidRPr="00ED701B">
        <w:rPr>
          <w:rFonts w:cs="Times New Roman"/>
          <w:color w:val="000000"/>
        </w:rPr>
        <w:tab/>
        <w:t>Group Four</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not to exceed $200,000.00 per job;</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$40,000.00;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compiled by a licensed certified public accountant or a licensed public accountant in accordance with GAAP, including all disclosures required by GAAP indicating a net worth of forty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an owner</w:t>
      </w:r>
      <w:r>
        <w:rPr>
          <w:rFonts w:cs="Times New Roman"/>
          <w:color w:val="000000"/>
        </w:rPr>
        <w:noBreakHyphen/>
      </w:r>
      <w:r w:rsidRPr="00ED701B">
        <w:rPr>
          <w:rFonts w:cs="Times New Roman"/>
          <w:color w:val="000000"/>
        </w:rPr>
        <w:t xml:space="preserve">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w:t>
      </w:r>
      <w:r w:rsidRPr="00ED701B">
        <w:rPr>
          <w:rFonts w:cs="Times New Roman"/>
        </w:rPr>
        <w:t>forty</w:t>
      </w:r>
      <w:r w:rsidRPr="00ED701B">
        <w:rPr>
          <w:rFonts w:cs="Times New Roman"/>
          <w:color w:val="000000"/>
        </w:rPr>
        <w:t xml:space="preserve"> thousand dollars;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(5)</w:t>
      </w:r>
      <w:r w:rsidRPr="00ED701B">
        <w:rPr>
          <w:rFonts w:cs="Times New Roman"/>
          <w:color w:val="000000"/>
        </w:rPr>
        <w:tab/>
        <w:t>Group Five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(a)</w:t>
      </w:r>
      <w:r w:rsidRPr="00ED701B">
        <w:rPr>
          <w:rFonts w:cs="Times New Roman"/>
          <w:color w:val="000000"/>
        </w:rPr>
        <w:tab/>
        <w:t>bids and jobs unlimited;</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(b)</w:t>
      </w:r>
      <w:r w:rsidRPr="00ED701B">
        <w:rPr>
          <w:rFonts w:cs="Times New Roman"/>
          <w:color w:val="000000"/>
        </w:rPr>
        <w:tab/>
        <w:t>required net worth of $200,000.00;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(c)</w:t>
      </w:r>
      <w:r w:rsidRPr="00ED701B">
        <w:rPr>
          <w:rFonts w:cs="Times New Roman"/>
          <w:color w:val="000000"/>
        </w:rPr>
        <w:tab/>
        <w:t>on initial application, a financial statement audited by a licensed certified public accountant or a licensed public accountant in accordance with GAAP, including all disclosures required by GAAP;</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r>
      <w:r w:rsidRPr="00ED701B">
        <w:rPr>
          <w:rFonts w:cs="Times New Roman"/>
          <w:color w:val="000000"/>
        </w:rPr>
        <w:tab/>
        <w:t>(d)</w:t>
      </w:r>
      <w:r w:rsidRPr="00ED701B">
        <w:rPr>
          <w:rFonts w:cs="Times New Roman"/>
          <w:color w:val="000000"/>
        </w:rPr>
        <w:tab/>
        <w:t>on renewal, a financial statement reviewed by a licensed certified public accountant or a licensed public accountant in accordance with GAAP, including all disclosures required by GAAP.</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t>(C)</w:t>
      </w:r>
      <w:r w:rsidRPr="00ED701B">
        <w:rPr>
          <w:rFonts w:cs="Times New Roman"/>
          <w:color w:val="000000"/>
        </w:rPr>
        <w:tab/>
        <w:t>In reviewing an entity</w:t>
      </w:r>
      <w:r w:rsidRPr="00F34124">
        <w:rPr>
          <w:rFonts w:cs="Times New Roman"/>
          <w:color w:val="000000"/>
        </w:rPr>
        <w:t>’</w:t>
      </w:r>
      <w:r w:rsidRPr="00ED701B">
        <w:rPr>
          <w:rFonts w:cs="Times New Roman"/>
          <w:color w:val="000000"/>
        </w:rPr>
        <w:t>s balance sheet to determine the net worth of the applicant or licensee, the board may consider:</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(1)</w:t>
      </w:r>
      <w:r w:rsidRPr="00ED701B">
        <w:rPr>
          <w:rFonts w:cs="Times New Roman"/>
          <w:color w:val="000000"/>
        </w:rPr>
        <w:tab/>
        <w:t>deviations from the standard accountant</w:t>
      </w:r>
      <w:r w:rsidRPr="00F34124">
        <w:rPr>
          <w:rFonts w:cs="Times New Roman"/>
          <w:color w:val="000000"/>
        </w:rPr>
        <w:t>’</w:t>
      </w:r>
      <w:r w:rsidRPr="00ED701B">
        <w:rPr>
          <w:rFonts w:cs="Times New Roman"/>
          <w:color w:val="000000"/>
        </w:rPr>
        <w:t>s report;</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(2)</w:t>
      </w:r>
      <w:r w:rsidRPr="00ED701B">
        <w:rPr>
          <w:rFonts w:cs="Times New Roman"/>
          <w:color w:val="000000"/>
        </w:rPr>
        <w:tab/>
        <w:t>notes to the financial statement;</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(3)</w:t>
      </w:r>
      <w:r w:rsidRPr="00ED701B">
        <w:rPr>
          <w:rFonts w:cs="Times New Roman"/>
          <w:color w:val="000000"/>
        </w:rPr>
        <w:tab/>
        <w:t>additional financial information submitted by the applicant or licensee for renewals;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r>
      <w:r w:rsidRPr="00ED701B">
        <w:rPr>
          <w:rFonts w:cs="Times New Roman"/>
          <w:color w:val="000000"/>
        </w:rPr>
        <w:tab/>
        <w:t>(4)</w:t>
      </w:r>
      <w:r w:rsidRPr="00ED701B">
        <w:rPr>
          <w:rFonts w:cs="Times New Roman"/>
          <w:color w:val="000000"/>
        </w:rPr>
        <w:tab/>
        <w:t>personal financial statements of an entity</w:t>
      </w:r>
      <w:r w:rsidRPr="00F34124">
        <w:rPr>
          <w:rFonts w:cs="Times New Roman"/>
          <w:color w:val="000000"/>
        </w:rPr>
        <w:t>’</w:t>
      </w:r>
      <w:r w:rsidRPr="00ED701B">
        <w:rPr>
          <w:rFonts w:cs="Times New Roman"/>
          <w:color w:val="000000"/>
        </w:rPr>
        <w:t>s principals for an entity with less than two year</w:t>
      </w:r>
      <w:r w:rsidRPr="00F34124">
        <w:rPr>
          <w:rFonts w:cs="Times New Roman"/>
          <w:color w:val="000000"/>
        </w:rPr>
        <w:t>’</w:t>
      </w:r>
      <w:r w:rsidRPr="00ED701B">
        <w:rPr>
          <w:rFonts w:cs="Times New Roman"/>
          <w:color w:val="000000"/>
        </w:rPr>
        <w:t>s operating experience.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t>(D)</w:t>
      </w:r>
      <w:r w:rsidRPr="00ED701B">
        <w:rPr>
          <w:rFonts w:cs="Times New Roman"/>
          <w:color w:val="000000"/>
        </w:rPr>
        <w:tab/>
        <w:t>If a licensee desires to change to a higher license group as established in this section, the licensee must meet the financial statement and net worth requirements in the higher license group number as required in initial application.</w:t>
      </w: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D701B">
        <w:rPr>
          <w:rFonts w:cs="Times New Roman"/>
          <w:color w:val="000000"/>
        </w:rPr>
        <w:tab/>
        <w:t>(E)</w:t>
      </w:r>
      <w:r w:rsidRPr="00ED701B">
        <w:rPr>
          <w:rFonts w:cs="Times New Roman"/>
          <w:color w:val="000000"/>
        </w:rPr>
        <w:tab/>
        <w:t>If the board has reasonable cause to believe that an entity has not maintained the minimum net worth for its group, the board may order the entity to submit additional financial information, and, if appropriate, may modify the entity</w:t>
      </w:r>
      <w:r w:rsidRPr="00F34124">
        <w:rPr>
          <w:rFonts w:cs="Times New Roman"/>
          <w:color w:val="000000"/>
        </w:rPr>
        <w:t>’</w:t>
      </w:r>
      <w:r w:rsidRPr="00ED701B">
        <w:rPr>
          <w:rFonts w:cs="Times New Roman"/>
          <w:color w:val="000000"/>
        </w:rPr>
        <w:t>s license to reflect the appropriate limitation group.”</w:t>
      </w: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107E8" w:rsidRPr="00E0400D"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Contractor licensure exemptions, billboard sign installations and repairs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SECTION</w:t>
      </w:r>
      <w:r w:rsidRPr="00ED701B">
        <w:rPr>
          <w:rFonts w:cs="Times New Roman"/>
        </w:rPr>
        <w:tab/>
        <w:t>2.</w:t>
      </w:r>
      <w:r w:rsidRPr="00ED701B">
        <w:rPr>
          <w:rFonts w:cs="Times New Roman"/>
        </w:rPr>
        <w:tab/>
        <w:t>Section 40</w:t>
      </w:r>
      <w:r>
        <w:rPr>
          <w:rFonts w:cs="Times New Roman"/>
        </w:rPr>
        <w:noBreakHyphen/>
      </w:r>
      <w:r w:rsidRPr="00ED701B">
        <w:rPr>
          <w:rFonts w:cs="Times New Roman"/>
        </w:rPr>
        <w:t>11</w:t>
      </w:r>
      <w:r>
        <w:rPr>
          <w:rFonts w:cs="Times New Roman"/>
        </w:rPr>
        <w:noBreakHyphen/>
      </w:r>
      <w:r w:rsidRPr="00ED701B">
        <w:rPr>
          <w:rFonts w:cs="Times New Roman"/>
        </w:rPr>
        <w:t>360(A) of the 1976 Code is amended to read:</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t>“(A)</w:t>
      </w:r>
      <w:r w:rsidRPr="00ED701B">
        <w:rPr>
          <w:rFonts w:cs="Times New Roman"/>
        </w:rPr>
        <w:tab/>
        <w:t>This chapter does not apply to:</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(1)</w:t>
      </w:r>
      <w:r w:rsidRPr="00ED701B">
        <w:rPr>
          <w:rFonts w:cs="Times New Roman"/>
        </w:rPr>
        <w:tab/>
        <w:t>An entity which installs fire sprinkler systems if the entity is licensed under Chapter 45</w:t>
      </w:r>
      <w:r>
        <w:rPr>
          <w:rFonts w:cs="Times New Roman"/>
        </w:rPr>
        <w:t xml:space="preserve"> of</w:t>
      </w:r>
      <w:r w:rsidRPr="00ED701B">
        <w:rPr>
          <w:rFonts w:cs="Times New Roman"/>
        </w:rPr>
        <w:t xml:space="preserve"> Title 23, or burglar and fire alarm systems if the entity is licensed under Chapter 79</w:t>
      </w:r>
      <w:r>
        <w:rPr>
          <w:rFonts w:cs="Times New Roman"/>
        </w:rPr>
        <w:t xml:space="preserve"> of</w:t>
      </w:r>
      <w:r w:rsidRPr="00ED701B">
        <w:rPr>
          <w:rFonts w:cs="Times New Roman"/>
        </w:rPr>
        <w:t xml:space="preserve"> Title 40.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(2)</w:t>
      </w:r>
      <w:r w:rsidRPr="00ED701B">
        <w:rPr>
          <w:rFonts w:cs="Times New Roman"/>
        </w:rPr>
        <w:tab/>
        <w:t>The installation of finished products, materials, or articles of merchandise that are not fabricated into and do not become a permanent fixed part of the structure. Work requiring licensure must be installed by a licensed contractor.</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(3)</w:t>
      </w:r>
      <w:r w:rsidRPr="00ED701B">
        <w:rPr>
          <w:rFonts w:cs="Times New Roman"/>
        </w:rPr>
        <w:tab/>
        <w:t>Construction, alteration, improvement, or repair carried on within the limits of a site, the title to which is in the name United States of America or with respect to which federal law supersedes this chapter.</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(4)</w:t>
      </w:r>
      <w:r w:rsidRPr="00ED701B">
        <w:rPr>
          <w:rFonts w:cs="Times New Roman"/>
        </w:rPr>
        <w:tab/>
        <w:t>Contractors performing construction work for the South Carolina Department of Transportation pursuant to that department</w:t>
      </w:r>
      <w:r w:rsidRPr="00F34124">
        <w:rPr>
          <w:rFonts w:cs="Times New Roman"/>
        </w:rPr>
        <w:t>’</w:t>
      </w:r>
      <w:r w:rsidRPr="00ED701B">
        <w:rPr>
          <w:rFonts w:cs="Times New Roman"/>
        </w:rPr>
        <w:t>s prequalification requirements with the exception of public/private partnerships performing work pursuant to Section 57</w:t>
      </w:r>
      <w:r>
        <w:rPr>
          <w:rFonts w:cs="Times New Roman"/>
        </w:rPr>
        <w:noBreakHyphen/>
      </w:r>
      <w:r w:rsidRPr="00ED701B">
        <w:rPr>
          <w:rFonts w:cs="Times New Roman"/>
        </w:rPr>
        <w:t>3</w:t>
      </w:r>
      <w:r>
        <w:rPr>
          <w:rFonts w:cs="Times New Roman"/>
        </w:rPr>
        <w:noBreakHyphen/>
      </w:r>
      <w:r w:rsidRPr="00ED701B">
        <w:rPr>
          <w:rFonts w:cs="Times New Roman"/>
        </w:rPr>
        <w:t>200.</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(5)</w:t>
      </w:r>
      <w:r w:rsidRPr="00ED701B">
        <w:rPr>
          <w:rFonts w:cs="Times New Roman"/>
        </w:rPr>
        <w:tab/>
        <w:t>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Pr="00F34124">
        <w:rPr>
          <w:rFonts w:cs="Times New Roman"/>
        </w:rPr>
        <w:t>’</w:t>
      </w:r>
      <w:r w:rsidRPr="00ED701B">
        <w:rPr>
          <w:rFonts w:cs="Times New Roman"/>
        </w:rPr>
        <w:t>s sole occupancy or occupancy by the owner</w:t>
      </w:r>
      <w:r w:rsidRPr="00F34124">
        <w:rPr>
          <w:rFonts w:cs="Times New Roman"/>
        </w:rPr>
        <w:t>’</w:t>
      </w:r>
      <w:r w:rsidRPr="00ED701B">
        <w:rPr>
          <w:rFonts w:cs="Times New Roman"/>
        </w:rPr>
        <w:t>s family and are not intended for sale or rent, and provided further, that the general public does not have access to this structure. In an action brought under this chapter, proof of the sale or rent or the offering for sale or rent of the structure by the owner</w:t>
      </w:r>
      <w:r>
        <w:rPr>
          <w:rFonts w:cs="Times New Roman"/>
        </w:rPr>
        <w:noBreakHyphen/>
      </w:r>
      <w:r w:rsidRPr="00ED701B">
        <w:rPr>
          <w:rFonts w:cs="Times New Roman"/>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Pr="00F34124">
        <w:rPr>
          <w:rFonts w:cs="Times New Roman"/>
        </w:rPr>
        <w:t>‘</w:t>
      </w:r>
      <w:r w:rsidRPr="00ED701B">
        <w:rPr>
          <w:rFonts w:cs="Times New Roman"/>
        </w:rPr>
        <w:t>sale</w:t>
      </w:r>
      <w:r w:rsidRPr="00F34124">
        <w:rPr>
          <w:rFonts w:cs="Times New Roman"/>
        </w:rPr>
        <w:t>’</w:t>
      </w:r>
      <w:r w:rsidRPr="00ED701B">
        <w:rPr>
          <w:rFonts w:cs="Times New Roman"/>
        </w:rPr>
        <w:t xml:space="preserve"> or </w:t>
      </w:r>
      <w:r w:rsidRPr="00F34124">
        <w:rPr>
          <w:rFonts w:cs="Times New Roman"/>
        </w:rPr>
        <w:t>‘</w:t>
      </w:r>
      <w:r w:rsidRPr="00ED701B">
        <w:rPr>
          <w:rFonts w:cs="Times New Roman"/>
        </w:rPr>
        <w:t>rent</w:t>
      </w:r>
      <w:r w:rsidRPr="00F34124">
        <w:rPr>
          <w:rFonts w:cs="Times New Roman"/>
        </w:rPr>
        <w:t>’</w:t>
      </w:r>
      <w:r w:rsidRPr="00ED701B">
        <w:rPr>
          <w:rFonts w:cs="Times New Roman"/>
        </w:rPr>
        <w:t xml:space="preserve"> includes an arrangement by which an owner receives compensation in money, provisions, chattel, or labor from the occupancy, or the transfer of the property or the structures on the property.</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(6)</w:t>
      </w:r>
      <w:r w:rsidRPr="00ED701B">
        <w:rPr>
          <w:rFonts w:cs="Times New Roman"/>
        </w:rPr>
        <w:tab/>
        <w:t>An owner of nonowner</w:t>
      </w:r>
      <w:r>
        <w:rPr>
          <w:rFonts w:cs="Times New Roman"/>
        </w:rPr>
        <w:noBreakHyphen/>
      </w:r>
      <w:r w:rsidRPr="00ED701B">
        <w:rPr>
          <w:rFonts w:cs="Times New Roman"/>
        </w:rPr>
        <w:t>occupied property who improves the property or who builds or improves structures of less than five thousand square feet or other appurtenances on the property, either by himself or with the owner</w:t>
      </w:r>
      <w:r w:rsidRPr="00F34124">
        <w:rPr>
          <w:rFonts w:cs="Times New Roman"/>
        </w:rPr>
        <w:t>’</w:t>
      </w:r>
      <w:r w:rsidRPr="00ED701B">
        <w:rPr>
          <w:rFonts w:cs="Times New Roman"/>
        </w:rPr>
        <w:t xml:space="preserve">s employees, if all structural and mechanical work is performed by licensed contractors regardless of the cost of construction and if the property is not sold for two years after completion of the improvements. For purposes of this item, </w:t>
      </w:r>
      <w:r w:rsidRPr="00F34124">
        <w:rPr>
          <w:rFonts w:cs="Times New Roman"/>
        </w:rPr>
        <w:t>‘</w:t>
      </w:r>
      <w:r w:rsidRPr="00ED701B">
        <w:rPr>
          <w:rFonts w:cs="Times New Roman"/>
        </w:rPr>
        <w:t>structural</w:t>
      </w:r>
      <w:r w:rsidRPr="00F34124">
        <w:rPr>
          <w:rFonts w:cs="Times New Roman"/>
        </w:rPr>
        <w:t>’</w:t>
      </w:r>
      <w:r w:rsidRPr="00ED701B">
        <w:rPr>
          <w:rFonts w:cs="Times New Roman"/>
        </w:rPr>
        <w:t xml:space="preserve"> means foundation, pier, load</w:t>
      </w:r>
      <w:r>
        <w:rPr>
          <w:rFonts w:cs="Times New Roman"/>
        </w:rPr>
        <w:noBreakHyphen/>
      </w:r>
      <w:r w:rsidRPr="00ED701B">
        <w:rPr>
          <w:rFonts w:cs="Times New Roman"/>
        </w:rPr>
        <w:t xml:space="preserve">bearing partition, perimeter wall, internal wall exceeding ten feet in height, roof, floor, and any other work deemed by the board to be structural. </w:t>
      </w:r>
      <w:r w:rsidRPr="00F34124">
        <w:rPr>
          <w:rFonts w:cs="Times New Roman"/>
        </w:rPr>
        <w:t>‘</w:t>
      </w:r>
      <w:r w:rsidRPr="00ED701B">
        <w:rPr>
          <w:rFonts w:cs="Times New Roman"/>
        </w:rPr>
        <w:t>Mechanical</w:t>
      </w:r>
      <w:r w:rsidRPr="00F34124">
        <w:rPr>
          <w:rFonts w:cs="Times New Roman"/>
        </w:rPr>
        <w:t>’</w:t>
      </w:r>
      <w:r w:rsidRPr="00ED701B">
        <w:rPr>
          <w:rFonts w:cs="Times New Roman"/>
        </w:rPr>
        <w:t xml:space="preserve"> means work described in Section 40</w:t>
      </w:r>
      <w:r>
        <w:rPr>
          <w:rFonts w:cs="Times New Roman"/>
        </w:rPr>
        <w:noBreakHyphen/>
      </w:r>
      <w:r w:rsidRPr="00ED701B">
        <w:rPr>
          <w:rFonts w:cs="Times New Roman"/>
        </w:rPr>
        <w:t>11</w:t>
      </w:r>
      <w:r>
        <w:rPr>
          <w:rFonts w:cs="Times New Roman"/>
        </w:rPr>
        <w:noBreakHyphen/>
      </w:r>
      <w:r w:rsidRPr="00ED701B">
        <w:rPr>
          <w:rFonts w:cs="Times New Roman"/>
        </w:rPr>
        <w:t>410(5).</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(7)</w:t>
      </w:r>
      <w:r w:rsidRPr="00ED701B">
        <w:rPr>
          <w:rFonts w:cs="Times New Roman"/>
        </w:rPr>
        <w:tab/>
        <w:t>An owner constructing a farm building or portable storage building with less than five thousand square feet of floor space and used only for livestock or storage.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(8)</w:t>
      </w:r>
      <w:r w:rsidRPr="00ED701B">
        <w:rPr>
          <w:rFonts w:cs="Times New Roman"/>
        </w:rPr>
        <w:tab/>
        <w:t>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Pr="00F34124">
        <w:rPr>
          <w:rFonts w:cs="Times New Roman"/>
        </w:rPr>
        <w:t>’</w:t>
      </w:r>
      <w:r w:rsidRPr="00ED701B">
        <w:rPr>
          <w:rFonts w:cs="Times New Roman"/>
        </w:rPr>
        <w:t>s Consumer Price Index.</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(9)</w:t>
      </w:r>
      <w:r w:rsidRPr="00ED701B">
        <w:rPr>
          <w:rFonts w:cs="Times New Roman"/>
        </w:rPr>
        <w:tab/>
        <w:t>Renovations and maintenance projects of the South Carolina Department of Corrections whereby all labor is supplied from that department</w:t>
      </w:r>
      <w:r w:rsidRPr="00F34124">
        <w:rPr>
          <w:rFonts w:cs="Times New Roman"/>
        </w:rPr>
        <w:t>’</w:t>
      </w:r>
      <w:r w:rsidRPr="00ED701B">
        <w:rPr>
          <w:rFonts w:cs="Times New Roman"/>
        </w:rPr>
        <w:t>s own labor forces.</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(10)</w:t>
      </w:r>
      <w:r w:rsidRPr="00ED701B">
        <w:rPr>
          <w:rFonts w:cs="Times New Roman"/>
        </w:rPr>
        <w:tab/>
        <w:t>The South Carolina Public Service Authority when performing maintenance and renovations to existing facilities and when performing work in accordance with Section 40</w:t>
      </w:r>
      <w:r>
        <w:rPr>
          <w:rFonts w:cs="Times New Roman"/>
        </w:rPr>
        <w:noBreakHyphen/>
      </w:r>
      <w:r w:rsidRPr="00ED701B">
        <w:rPr>
          <w:rFonts w:cs="Times New Roman"/>
        </w:rPr>
        <w:t>11</w:t>
      </w:r>
      <w:r>
        <w:rPr>
          <w:rFonts w:cs="Times New Roman"/>
        </w:rPr>
        <w:noBreakHyphen/>
      </w:r>
      <w:r w:rsidRPr="00ED701B">
        <w:rPr>
          <w:rFonts w:cs="Times New Roman"/>
        </w:rPr>
        <w:t>410(4)(n).</w:t>
      </w: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ab/>
      </w:r>
      <w:r w:rsidRPr="00ED701B">
        <w:rPr>
          <w:rFonts w:cs="Times New Roman"/>
        </w:rPr>
        <w:tab/>
        <w:t>(11)</w:t>
      </w:r>
      <w:r w:rsidRPr="00ED701B">
        <w:rPr>
          <w:rFonts w:cs="Times New Roman"/>
        </w:rPr>
        <w:tab/>
        <w:t>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0400D"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07E8" w:rsidRPr="00ED701B"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701B">
        <w:rPr>
          <w:rFonts w:cs="Times New Roman"/>
        </w:rPr>
        <w:t>SECTION</w:t>
      </w:r>
      <w:r w:rsidRPr="00ED701B">
        <w:rPr>
          <w:rFonts w:cs="Times New Roman"/>
        </w:rPr>
        <w:tab/>
        <w:t>3.</w:t>
      </w:r>
      <w:r w:rsidRPr="00ED701B">
        <w:rPr>
          <w:rFonts w:cs="Times New Roman"/>
        </w:rPr>
        <w:tab/>
        <w:t>This act takes effect upon approval by the Governor.</w:t>
      </w: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107E8" w:rsidRDefault="006107E8"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107E8" w:rsidRDefault="006107E8" w:rsidP="006107E8">
      <w:pPr>
        <w:jc w:val="both"/>
        <w:rPr>
          <w:color w:val="000000" w:themeColor="text1"/>
        </w:rPr>
      </w:pPr>
    </w:p>
    <w:p w:rsidR="006107E8" w:rsidRDefault="006107E8" w:rsidP="006107E8">
      <w:pPr>
        <w:jc w:val="both"/>
        <w:rPr>
          <w:color w:val="000000" w:themeColor="text1"/>
        </w:rPr>
      </w:pPr>
      <w:r>
        <w:rPr>
          <w:color w:val="000000" w:themeColor="text1"/>
        </w:rPr>
        <w:t>Approved the 3</w:t>
      </w:r>
      <w:r w:rsidRPr="00526596">
        <w:rPr>
          <w:color w:val="000000" w:themeColor="text1"/>
          <w:vertAlign w:val="superscript"/>
        </w:rPr>
        <w:t>rd</w:t>
      </w:r>
      <w:r>
        <w:rPr>
          <w:color w:val="000000" w:themeColor="text1"/>
        </w:rPr>
        <w:t xml:space="preserve"> day of June, 2016. </w:t>
      </w:r>
    </w:p>
    <w:p w:rsidR="006107E8" w:rsidRDefault="006107E8" w:rsidP="006107E8">
      <w:pPr>
        <w:jc w:val="center"/>
        <w:rPr>
          <w:color w:val="000000" w:themeColor="text1"/>
        </w:rPr>
      </w:pPr>
    </w:p>
    <w:p w:rsidR="006107E8" w:rsidRDefault="006107E8" w:rsidP="006107E8">
      <w:pPr>
        <w:jc w:val="center"/>
        <w:rPr>
          <w:color w:val="000000" w:themeColor="text1"/>
        </w:rPr>
      </w:pPr>
      <w:r>
        <w:rPr>
          <w:color w:val="000000" w:themeColor="text1"/>
        </w:rPr>
        <w:t>__________</w:t>
      </w:r>
    </w:p>
    <w:p w:rsidR="009600C0" w:rsidRPr="00897902" w:rsidRDefault="009600C0" w:rsidP="0061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600C0" w:rsidRPr="00897902" w:rsidSect="009600C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100" w:rsidRDefault="000E4100" w:rsidP="007D5FAC">
      <w:r>
        <w:separator/>
      </w:r>
    </w:p>
  </w:endnote>
  <w:endnote w:type="continuationSeparator" w:id="0">
    <w:p w:rsidR="000E4100" w:rsidRDefault="000E41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C0" w:rsidRPr="009600C0" w:rsidRDefault="009600C0" w:rsidP="009600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107E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0C0" w:rsidRDefault="00960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100" w:rsidRDefault="000E4100" w:rsidP="007D5FAC">
      <w:r>
        <w:separator/>
      </w:r>
    </w:p>
  </w:footnote>
  <w:footnote w:type="continuationSeparator" w:id="0">
    <w:p w:rsidR="000E4100" w:rsidRDefault="000E41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80"/>
    <w:docVar w:name="ActSecretary" w:val="Morgan"/>
    <w:docVar w:name="ActSIdno" w:val="(91)  280AB16"/>
    <w:docVar w:name="clipname" w:val="280AB16"/>
    <w:docVar w:name="dvBillNumber" w:val="280"/>
    <w:docVar w:name="dvBillNumberPrefix" w:val="S"/>
    <w:docVar w:name="dvOriginalBody" w:val="Senate"/>
    <w:docVar w:name="OrigSENATEBillNo" w:val="280"/>
    <w:docVar w:name="SENATEACTFULLPATH" w:val="L:\COUNCIL\ACTS\280AB16.DOCX"/>
    <w:docVar w:name="WhatActtype" w:val="AN ACT"/>
  </w:docVars>
  <w:rsids>
    <w:rsidRoot w:val="000E4100"/>
    <w:rsid w:val="00002DE0"/>
    <w:rsid w:val="00020349"/>
    <w:rsid w:val="00021B0B"/>
    <w:rsid w:val="00030487"/>
    <w:rsid w:val="00040C05"/>
    <w:rsid w:val="0004579B"/>
    <w:rsid w:val="00051B4F"/>
    <w:rsid w:val="00055653"/>
    <w:rsid w:val="0006614E"/>
    <w:rsid w:val="000673E4"/>
    <w:rsid w:val="0007088D"/>
    <w:rsid w:val="000731E9"/>
    <w:rsid w:val="00074565"/>
    <w:rsid w:val="00076A1A"/>
    <w:rsid w:val="000772A8"/>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410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A16"/>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7BB6"/>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2647"/>
    <w:rsid w:val="003A6D96"/>
    <w:rsid w:val="003A7517"/>
    <w:rsid w:val="003B1A01"/>
    <w:rsid w:val="003B2E6E"/>
    <w:rsid w:val="003B355D"/>
    <w:rsid w:val="003B6BB7"/>
    <w:rsid w:val="003B746E"/>
    <w:rsid w:val="003C030C"/>
    <w:rsid w:val="003C237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ABA"/>
    <w:rsid w:val="005065EC"/>
    <w:rsid w:val="00510891"/>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07E8"/>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B39"/>
    <w:rsid w:val="007734D1"/>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1194"/>
    <w:rsid w:val="00855672"/>
    <w:rsid w:val="00860CD2"/>
    <w:rsid w:val="00865315"/>
    <w:rsid w:val="00865A3F"/>
    <w:rsid w:val="008674BA"/>
    <w:rsid w:val="00870435"/>
    <w:rsid w:val="008733F2"/>
    <w:rsid w:val="008746A0"/>
    <w:rsid w:val="00875B4B"/>
    <w:rsid w:val="00877295"/>
    <w:rsid w:val="008836A5"/>
    <w:rsid w:val="00892AF7"/>
    <w:rsid w:val="00897902"/>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0C0"/>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193D"/>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31A6"/>
    <w:rsid w:val="00BB43F6"/>
    <w:rsid w:val="00BB7B1B"/>
    <w:rsid w:val="00BC5FF9"/>
    <w:rsid w:val="00BD44FA"/>
    <w:rsid w:val="00BE36EB"/>
    <w:rsid w:val="00BE41F8"/>
    <w:rsid w:val="00BF1B60"/>
    <w:rsid w:val="00BF2034"/>
    <w:rsid w:val="00BF33CD"/>
    <w:rsid w:val="00BF352D"/>
    <w:rsid w:val="00BF4629"/>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606E"/>
    <w:rsid w:val="00C7071A"/>
    <w:rsid w:val="00C73A60"/>
    <w:rsid w:val="00C74282"/>
    <w:rsid w:val="00C74E9D"/>
    <w:rsid w:val="00C837F6"/>
    <w:rsid w:val="00C92B7D"/>
    <w:rsid w:val="00C92E2B"/>
    <w:rsid w:val="00C94E59"/>
    <w:rsid w:val="00C97CB8"/>
    <w:rsid w:val="00CA23B8"/>
    <w:rsid w:val="00CA4CD7"/>
    <w:rsid w:val="00CB12FE"/>
    <w:rsid w:val="00CC2825"/>
    <w:rsid w:val="00CD671F"/>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2A42"/>
    <w:rsid w:val="00D63C04"/>
    <w:rsid w:val="00D76225"/>
    <w:rsid w:val="00D7706E"/>
    <w:rsid w:val="00D80303"/>
    <w:rsid w:val="00D8576C"/>
    <w:rsid w:val="00D9130B"/>
    <w:rsid w:val="00D92268"/>
    <w:rsid w:val="00D94602"/>
    <w:rsid w:val="00D958BB"/>
    <w:rsid w:val="00DA1730"/>
    <w:rsid w:val="00DA77C1"/>
    <w:rsid w:val="00DB01BE"/>
    <w:rsid w:val="00DB1297"/>
    <w:rsid w:val="00DB1F0B"/>
    <w:rsid w:val="00DC093F"/>
    <w:rsid w:val="00DC6CFE"/>
    <w:rsid w:val="00DD198F"/>
    <w:rsid w:val="00DD2595"/>
    <w:rsid w:val="00DD314B"/>
    <w:rsid w:val="00DD3B8D"/>
    <w:rsid w:val="00DD5167"/>
    <w:rsid w:val="00DD557D"/>
    <w:rsid w:val="00DE2D21"/>
    <w:rsid w:val="00DF0E69"/>
    <w:rsid w:val="00E00FC9"/>
    <w:rsid w:val="00E02CA8"/>
    <w:rsid w:val="00E0400D"/>
    <w:rsid w:val="00E076BB"/>
    <w:rsid w:val="00E14905"/>
    <w:rsid w:val="00E176C6"/>
    <w:rsid w:val="00E2503B"/>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124"/>
    <w:rsid w:val="00F348D3"/>
    <w:rsid w:val="00F34BF1"/>
    <w:rsid w:val="00F3642A"/>
    <w:rsid w:val="00F432E0"/>
    <w:rsid w:val="00F44E35"/>
    <w:rsid w:val="00F45C47"/>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52E2955-173D-4B87-8EFF-F3492F25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600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34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24"/>
    <w:rPr>
      <w:rFonts w:ascii="Segoe UI" w:hAnsi="Segoe UI" w:cs="Segoe UI"/>
      <w:sz w:val="18"/>
      <w:szCs w:val="18"/>
    </w:rPr>
  </w:style>
  <w:style w:type="table" w:styleId="TableGrid">
    <w:name w:val="Table Grid"/>
    <w:basedOn w:val="TableNormal"/>
    <w:uiPriority w:val="59"/>
    <w:rsid w:val="00BF462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600C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7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8-16.docx" TargetMode="External"/><Relationship Id="rId13" Type="http://schemas.openxmlformats.org/officeDocument/2006/relationships/hyperlink" Target="file:///h:\SJ%20Archive\2016\03-15-16.docx" TargetMode="External"/><Relationship Id="rId18" Type="http://schemas.openxmlformats.org/officeDocument/2006/relationships/hyperlink" Target="file:///h:\HJ%20Archive\2016\05-24-16.docx" TargetMode="External"/><Relationship Id="rId26" Type="http://schemas.openxmlformats.org/officeDocument/2006/relationships/hyperlink" Target="file:///p:\pprever\2015-16\280_20160129.docx" TargetMode="External"/><Relationship Id="rId3" Type="http://schemas.openxmlformats.org/officeDocument/2006/relationships/webSettings" Target="webSettings.xml"/><Relationship Id="rId21" Type="http://schemas.openxmlformats.org/officeDocument/2006/relationships/hyperlink" Target="file:///h:\SJ%20Archive\2016\05-26-16.docx" TargetMode="External"/><Relationship Id="rId34" Type="http://schemas.openxmlformats.org/officeDocument/2006/relationships/fontTable" Target="fontTable.xml"/><Relationship Id="rId7" Type="http://schemas.openxmlformats.org/officeDocument/2006/relationships/hyperlink" Target="file:///h:\SJ%20Archive\2015\01-13-15.docx" TargetMode="External"/><Relationship Id="rId12" Type="http://schemas.openxmlformats.org/officeDocument/2006/relationships/hyperlink" Target="file:///h:\SJ%20Archive\2016\03-15-16.docx" TargetMode="External"/><Relationship Id="rId17" Type="http://schemas.openxmlformats.org/officeDocument/2006/relationships/hyperlink" Target="file:///h:\HJ%20Archive\2016\05-24-16.docx" TargetMode="External"/><Relationship Id="rId25" Type="http://schemas.openxmlformats.org/officeDocument/2006/relationships/hyperlink" Target="file:///p:\pprever\2015-16\280_20160128.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19-16.docx" TargetMode="External"/><Relationship Id="rId20" Type="http://schemas.openxmlformats.org/officeDocument/2006/relationships/hyperlink" Target="file:///h:\HJ%20Archive\2016\05-25-16.docx" TargetMode="External"/><Relationship Id="rId29" Type="http://schemas.openxmlformats.org/officeDocument/2006/relationships/hyperlink" Target="file:///p:\pprever\2015-16\280_20160519.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6\02-04-16.docx" TargetMode="External"/><Relationship Id="rId24" Type="http://schemas.openxmlformats.org/officeDocument/2006/relationships/hyperlink" Target="file:///p:\pprever\2015-16\280_20150113.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3-16-16.docx" TargetMode="External"/><Relationship Id="rId23" Type="http://schemas.openxmlformats.org/officeDocument/2006/relationships/hyperlink" Target="http://www.scstatehouse.gov/billsearch.php?billnumbers=280&amp;session=121&amp;summary=B" TargetMode="External"/><Relationship Id="rId28" Type="http://schemas.openxmlformats.org/officeDocument/2006/relationships/hyperlink" Target="file:///p:\pprever\2015-16\280_20160205.docx" TargetMode="External"/><Relationship Id="rId10" Type="http://schemas.openxmlformats.org/officeDocument/2006/relationships/hyperlink" Target="file:///h:\SJ%20Archive\2016\02-04-16.docx" TargetMode="External"/><Relationship Id="rId19" Type="http://schemas.openxmlformats.org/officeDocument/2006/relationships/hyperlink" Target="file:///h:\HJ%20Archive\2016\05-24-16.docx" TargetMode="External"/><Relationship Id="rId31" Type="http://schemas.openxmlformats.org/officeDocument/2006/relationships/hyperlink" Target="file:///p:\pprever\2015-16\280_20160524.docx" TargetMode="External"/><Relationship Id="rId4" Type="http://schemas.openxmlformats.org/officeDocument/2006/relationships/footnotes" Target="footnotes.xml"/><Relationship Id="rId9" Type="http://schemas.openxmlformats.org/officeDocument/2006/relationships/hyperlink" Target="file:///h:\SJ%20Archive\2016\02-04-16.docx" TargetMode="External"/><Relationship Id="rId14" Type="http://schemas.openxmlformats.org/officeDocument/2006/relationships/hyperlink" Target="file:///h:\HJ%20Archive\2016\03-16-16.docx" TargetMode="External"/><Relationship Id="rId22" Type="http://schemas.openxmlformats.org/officeDocument/2006/relationships/hyperlink" Target="file:///h:\SJ%20Archive\2016\05-26-16.docx" TargetMode="External"/><Relationship Id="rId27" Type="http://schemas.openxmlformats.org/officeDocument/2006/relationships/hyperlink" Target="file:///p:\pprever\2015-16\280_20160204.docx" TargetMode="External"/><Relationship Id="rId30" Type="http://schemas.openxmlformats.org/officeDocument/2006/relationships/hyperlink" Target="file:///p:\pprever\2015-16\280_2016052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280: General and mechanical contractors - South Carolina Legislature Online</dc:title>
  <dc:subject/>
  <dc:creator>angiemorgan</dc:creator>
  <cp:keywords/>
  <dc:description/>
  <cp:lastModifiedBy>N Cumfer</cp:lastModifiedBy>
  <cp:revision>2</cp:revision>
  <cp:lastPrinted>2016-05-26T20:50:00Z</cp:lastPrinted>
  <dcterms:created xsi:type="dcterms:W3CDTF">2016-12-02T16:57:00Z</dcterms:created>
  <dcterms:modified xsi:type="dcterms:W3CDTF">2016-12-02T16:57:00Z</dcterms:modified>
</cp:coreProperties>
</file>