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3D216D">
        <w:rPr>
          <w:rFonts w:eastAsia="Times New Roman" w:cs="Times New Roman"/>
          <w:b/>
          <w:szCs w:val="20"/>
        </w:rPr>
        <w:t>South Carolina General Assembly</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D216D">
        <w:rPr>
          <w:rFonts w:eastAsia="Times New Roman" w:cs="Times New Roman"/>
          <w:szCs w:val="20"/>
        </w:rPr>
        <w:t>121st Session, 2015-2016</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16D" w:rsidRPr="003D216D" w:rsidRDefault="00D04C38"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A54, R85, H3083</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16D">
        <w:rPr>
          <w:rFonts w:eastAsia="Times New Roman" w:cs="Times New Roman"/>
          <w:b/>
          <w:szCs w:val="20"/>
        </w:rPr>
        <w:t>STATUS INFORMATION</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16D">
        <w:rPr>
          <w:rFonts w:eastAsia="Times New Roman" w:cs="Times New Roman"/>
          <w:szCs w:val="20"/>
        </w:rPr>
        <w:t>General Bill</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16D">
        <w:rPr>
          <w:rFonts w:eastAsia="Times New Roman" w:cs="Times New Roman"/>
          <w:szCs w:val="20"/>
        </w:rPr>
        <w:t>Sponsors: Reps. Huggins, Kennedy, Clary, Corley, Weeks, Whipper and Gilliard</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16D">
        <w:rPr>
          <w:rFonts w:eastAsia="Times New Roman" w:cs="Times New Roman"/>
          <w:szCs w:val="20"/>
        </w:rPr>
        <w:t>Document Path: l:\council\bills\dka\3009vr15.docx</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07936" w:rsidRDefault="00607936"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2015</w:t>
      </w:r>
    </w:p>
    <w:p w:rsidR="00607936" w:rsidRDefault="00607936"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607936" w:rsidRDefault="00607936"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28, 2015</w:t>
      </w:r>
    </w:p>
    <w:p w:rsidR="00607936" w:rsidRDefault="00607936"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28, 2015</w:t>
      </w:r>
    </w:p>
    <w:p w:rsidR="00607936" w:rsidRDefault="00607936"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2015, Signed</w:t>
      </w:r>
    </w:p>
    <w:p w:rsidR="00607936" w:rsidRDefault="00607936"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16D">
        <w:rPr>
          <w:rFonts w:eastAsia="Times New Roman" w:cs="Times New Roman"/>
          <w:szCs w:val="20"/>
        </w:rPr>
        <w:t>Summary: S.C. Overdose Prevention Act</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16D" w:rsidRPr="003D216D" w:rsidRDefault="003D216D" w:rsidP="003D216D">
      <w:pPr>
        <w:widowControl w:val="0"/>
        <w:tabs>
          <w:tab w:val="center" w:pos="590"/>
          <w:tab w:val="center" w:pos="1440"/>
          <w:tab w:val="left" w:pos="1872"/>
          <w:tab w:val="left" w:pos="9187"/>
        </w:tabs>
        <w:rPr>
          <w:rFonts w:eastAsia="Times New Roman" w:cs="Times New Roman"/>
          <w:szCs w:val="20"/>
        </w:rPr>
      </w:pPr>
      <w:r w:rsidRPr="003D216D">
        <w:rPr>
          <w:rFonts w:eastAsia="Times New Roman" w:cs="Times New Roman"/>
          <w:b/>
          <w:szCs w:val="20"/>
        </w:rPr>
        <w:t>HISTORY OF LEGISLATIVE ACTIONS</w:t>
      </w:r>
    </w:p>
    <w:p w:rsidR="003D216D" w:rsidRPr="003D216D" w:rsidRDefault="003D216D" w:rsidP="003D216D">
      <w:pPr>
        <w:widowControl w:val="0"/>
        <w:tabs>
          <w:tab w:val="center" w:pos="590"/>
          <w:tab w:val="center" w:pos="1440"/>
          <w:tab w:val="left" w:pos="1872"/>
          <w:tab w:val="left" w:pos="9187"/>
        </w:tabs>
        <w:rPr>
          <w:rFonts w:eastAsia="Times New Roman" w:cs="Times New Roman"/>
          <w:szCs w:val="20"/>
        </w:rPr>
      </w:pPr>
    </w:p>
    <w:p w:rsidR="003D216D" w:rsidRPr="003D216D" w:rsidRDefault="003D216D" w:rsidP="003D216D">
      <w:pPr>
        <w:widowControl w:val="0"/>
        <w:tabs>
          <w:tab w:val="center" w:pos="590"/>
          <w:tab w:val="center" w:pos="1440"/>
          <w:tab w:val="left" w:pos="1872"/>
          <w:tab w:val="left" w:pos="9187"/>
        </w:tabs>
        <w:rPr>
          <w:rFonts w:eastAsia="Times New Roman" w:cs="Times New Roman"/>
          <w:szCs w:val="20"/>
        </w:rPr>
      </w:pPr>
      <w:r w:rsidRPr="003D216D">
        <w:rPr>
          <w:rFonts w:eastAsia="Times New Roman" w:cs="Times New Roman"/>
          <w:szCs w:val="20"/>
          <w:u w:val="single"/>
        </w:rPr>
        <w:tab/>
        <w:t>Date</w:t>
      </w:r>
      <w:r w:rsidRPr="003D216D">
        <w:rPr>
          <w:rFonts w:eastAsia="Times New Roman" w:cs="Times New Roman"/>
          <w:szCs w:val="20"/>
          <w:u w:val="single"/>
        </w:rPr>
        <w:tab/>
        <w:t>Body</w:t>
      </w:r>
      <w:r w:rsidRPr="003D216D">
        <w:rPr>
          <w:rFonts w:eastAsia="Times New Roman" w:cs="Times New Roman"/>
          <w:szCs w:val="20"/>
          <w:u w:val="single"/>
        </w:rPr>
        <w:tab/>
        <w:t>Action Description with journal page number</w:t>
      </w:r>
      <w:r w:rsidRPr="003D216D">
        <w:rPr>
          <w:rFonts w:eastAsia="Times New Roman" w:cs="Times New Roman"/>
          <w:szCs w:val="20"/>
          <w:u w:val="single"/>
        </w:rPr>
        <w:tab/>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291E1E">
        <w:rPr>
          <w:rFonts w:cs="Times New Roman"/>
        </w:rPr>
        <w:t>Prefiled</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12/11/2014</w:t>
      </w:r>
      <w:r>
        <w:rPr>
          <w:rFonts w:cs="Times New Roman"/>
        </w:rPr>
        <w:tab/>
        <w:t>House</w:t>
      </w:r>
      <w:r>
        <w:rPr>
          <w:rFonts w:cs="Times New Roman"/>
        </w:rPr>
        <w:tab/>
      </w:r>
      <w:r w:rsidRPr="00291E1E">
        <w:rPr>
          <w:rFonts w:cs="Times New Roman"/>
        </w:rPr>
        <w:t xml:space="preserve">Referred to Committee on </w:t>
      </w:r>
      <w:r w:rsidRPr="00291E1E">
        <w:rPr>
          <w:rFonts w:cs="Times New Roman"/>
          <w:b/>
        </w:rPr>
        <w:t>Judiciary</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291E1E">
        <w:rPr>
          <w:rFonts w:cs="Times New Roman"/>
        </w:rPr>
        <w:t>Introduced and read first time (</w:t>
      </w:r>
      <w:hyperlink r:id="rId7" w:history="1">
        <w:r w:rsidRPr="0082093C">
          <w:rPr>
            <w:rStyle w:val="Hyperlink"/>
            <w:rFonts w:cs="Times New Roman"/>
          </w:rPr>
          <w:t>House Journal</w:t>
        </w:r>
        <w:r w:rsidRPr="0082093C">
          <w:rPr>
            <w:rStyle w:val="Hyperlink"/>
            <w:rFonts w:cs="Times New Roman"/>
          </w:rPr>
          <w:noBreakHyphen/>
          <w:t>page 89</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1/13/2015</w:t>
      </w:r>
      <w:r>
        <w:rPr>
          <w:rFonts w:cs="Times New Roman"/>
        </w:rPr>
        <w:tab/>
        <w:t>House</w:t>
      </w:r>
      <w:r>
        <w:rPr>
          <w:rFonts w:cs="Times New Roman"/>
        </w:rPr>
        <w:tab/>
      </w:r>
      <w:r w:rsidRPr="00291E1E">
        <w:rPr>
          <w:rFonts w:cs="Times New Roman"/>
        </w:rPr>
        <w:t>Ref</w:t>
      </w:r>
      <w:r>
        <w:rPr>
          <w:rFonts w:cs="Times New Roman"/>
        </w:rPr>
        <w:t xml:space="preserve">erred to Committee on </w:t>
      </w:r>
      <w:r w:rsidRPr="00291E1E">
        <w:rPr>
          <w:rFonts w:cs="Times New Roman"/>
          <w:b/>
        </w:rPr>
        <w:t>Judiciary</w:t>
      </w:r>
      <w:r>
        <w:rPr>
          <w:rFonts w:cs="Times New Roman"/>
        </w:rPr>
        <w:t xml:space="preserve"> </w:t>
      </w:r>
      <w:r w:rsidRPr="00291E1E">
        <w:rPr>
          <w:rFonts w:cs="Times New Roman"/>
        </w:rPr>
        <w:t>(</w:t>
      </w:r>
      <w:hyperlink r:id="rId8" w:history="1">
        <w:r w:rsidRPr="0082093C">
          <w:rPr>
            <w:rStyle w:val="Hyperlink"/>
            <w:rFonts w:cs="Times New Roman"/>
          </w:rPr>
          <w:t>House Journal</w:t>
        </w:r>
        <w:r w:rsidRPr="0082093C">
          <w:rPr>
            <w:rStyle w:val="Hyperlink"/>
            <w:rFonts w:cs="Times New Roman"/>
          </w:rPr>
          <w:noBreakHyphen/>
          <w:t>page 89</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291E1E">
        <w:rPr>
          <w:rFonts w:cs="Times New Roman"/>
        </w:rPr>
        <w:t>Member(s) request name added as sponsor: Kennedy, Clary</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3/3/2015</w:t>
      </w:r>
      <w:r>
        <w:rPr>
          <w:rFonts w:cs="Times New Roman"/>
        </w:rPr>
        <w:tab/>
        <w:t>House</w:t>
      </w:r>
      <w:r>
        <w:rPr>
          <w:rFonts w:cs="Times New Roman"/>
        </w:rPr>
        <w:tab/>
      </w:r>
      <w:r w:rsidRPr="00291E1E">
        <w:rPr>
          <w:rFonts w:cs="Times New Roman"/>
        </w:rPr>
        <w:t>Member(s) request name added as sponsor: Corley</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291E1E">
        <w:rPr>
          <w:rFonts w:cs="Times New Roman"/>
        </w:rPr>
        <w:t>Member(s) request name added as sponsor: Weeks, Whipper</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291E1E">
        <w:rPr>
          <w:rFonts w:cs="Times New Roman"/>
        </w:rPr>
        <w:t>Committee r</w:t>
      </w:r>
      <w:r>
        <w:rPr>
          <w:rFonts w:cs="Times New Roman"/>
        </w:rPr>
        <w:t xml:space="preserve">eport: Favorable with amendment </w:t>
      </w:r>
      <w:r w:rsidRPr="00291E1E">
        <w:rPr>
          <w:rFonts w:cs="Times New Roman"/>
          <w:b/>
        </w:rPr>
        <w:t>Judiciary</w:t>
      </w:r>
      <w:r w:rsidRPr="00291E1E">
        <w:rPr>
          <w:rFonts w:cs="Times New Roman"/>
        </w:rPr>
        <w:t xml:space="preserve"> (</w:t>
      </w:r>
      <w:hyperlink r:id="rId9" w:history="1">
        <w:r w:rsidRPr="0082093C">
          <w:rPr>
            <w:rStyle w:val="Hyperlink"/>
            <w:rFonts w:cs="Times New Roman"/>
          </w:rPr>
          <w:t>House Journal</w:t>
        </w:r>
        <w:r w:rsidRPr="0082093C">
          <w:rPr>
            <w:rStyle w:val="Hyperlink"/>
            <w:rFonts w:cs="Times New Roman"/>
          </w:rPr>
          <w:noBreakHyphen/>
          <w:t>page 7</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91E1E">
        <w:rPr>
          <w:rFonts w:cs="Times New Roman"/>
        </w:rPr>
        <w:t>Member(s) request name added as sponsor: Gilliard</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91E1E">
        <w:rPr>
          <w:rFonts w:cs="Times New Roman"/>
        </w:rPr>
        <w:t>Amended (</w:t>
      </w:r>
      <w:hyperlink r:id="rId10" w:history="1">
        <w:r w:rsidRPr="0082093C">
          <w:rPr>
            <w:rStyle w:val="Hyperlink"/>
            <w:rFonts w:cs="Times New Roman"/>
          </w:rPr>
          <w:t>House Journal</w:t>
        </w:r>
        <w:r w:rsidRPr="0082093C">
          <w:rPr>
            <w:rStyle w:val="Hyperlink"/>
            <w:rFonts w:cs="Times New Roman"/>
          </w:rPr>
          <w:noBreakHyphen/>
          <w:t>page 44</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91E1E">
        <w:rPr>
          <w:rFonts w:cs="Times New Roman"/>
        </w:rPr>
        <w:t>Read second time (</w:t>
      </w:r>
      <w:hyperlink r:id="rId11" w:history="1">
        <w:r w:rsidRPr="0082093C">
          <w:rPr>
            <w:rStyle w:val="Hyperlink"/>
            <w:rFonts w:cs="Times New Roman"/>
          </w:rPr>
          <w:t>House Journal</w:t>
        </w:r>
        <w:r w:rsidRPr="0082093C">
          <w:rPr>
            <w:rStyle w:val="Hyperlink"/>
            <w:rFonts w:cs="Times New Roman"/>
          </w:rPr>
          <w:noBreakHyphen/>
          <w:t>page 44</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291E1E">
        <w:rPr>
          <w:rFonts w:cs="Times New Roman"/>
        </w:rPr>
        <w:t>Roll call Yeas</w:t>
      </w:r>
      <w:r>
        <w:rPr>
          <w:rFonts w:cs="Times New Roman"/>
        </w:rPr>
        <w:noBreakHyphen/>
      </w:r>
      <w:r w:rsidRPr="00291E1E">
        <w:rPr>
          <w:rFonts w:cs="Times New Roman"/>
        </w:rPr>
        <w:t>91  Nays</w:t>
      </w:r>
      <w:r>
        <w:rPr>
          <w:rFonts w:cs="Times New Roman"/>
        </w:rPr>
        <w:noBreakHyphen/>
      </w:r>
      <w:r w:rsidRPr="00291E1E">
        <w:rPr>
          <w:rFonts w:cs="Times New Roman"/>
        </w:rPr>
        <w:t>0 (</w:t>
      </w:r>
      <w:hyperlink r:id="rId12" w:history="1">
        <w:r w:rsidRPr="0082093C">
          <w:rPr>
            <w:rStyle w:val="Hyperlink"/>
            <w:rFonts w:cs="Times New Roman"/>
          </w:rPr>
          <w:t>House Journal</w:t>
        </w:r>
        <w:r w:rsidRPr="0082093C">
          <w:rPr>
            <w:rStyle w:val="Hyperlink"/>
            <w:rFonts w:cs="Times New Roman"/>
          </w:rPr>
          <w:noBreakHyphen/>
          <w:t>page 47</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291E1E">
        <w:rPr>
          <w:rFonts w:cs="Times New Roman"/>
        </w:rPr>
        <w:t>Rea</w:t>
      </w:r>
      <w:r>
        <w:rPr>
          <w:rFonts w:cs="Times New Roman"/>
        </w:rPr>
        <w:t xml:space="preserve">d third time and sent to Senate </w:t>
      </w:r>
      <w:r w:rsidRPr="00291E1E">
        <w:rPr>
          <w:rFonts w:cs="Times New Roman"/>
        </w:rPr>
        <w:t>(</w:t>
      </w:r>
      <w:hyperlink r:id="rId13" w:history="1">
        <w:r w:rsidRPr="0082093C">
          <w:rPr>
            <w:rStyle w:val="Hyperlink"/>
            <w:rFonts w:cs="Times New Roman"/>
          </w:rPr>
          <w:t>House Journal</w:t>
        </w:r>
        <w:r w:rsidRPr="0082093C">
          <w:rPr>
            <w:rStyle w:val="Hyperlink"/>
            <w:rFonts w:cs="Times New Roman"/>
          </w:rPr>
          <w:noBreakHyphen/>
          <w:t>page 10</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291E1E">
        <w:rPr>
          <w:rFonts w:cs="Times New Roman"/>
        </w:rPr>
        <w:t>Introduced and read first time (</w:t>
      </w:r>
      <w:hyperlink r:id="rId14" w:history="1">
        <w:r w:rsidRPr="0082093C">
          <w:rPr>
            <w:rStyle w:val="Hyperlink"/>
            <w:rFonts w:cs="Times New Roman"/>
          </w:rPr>
          <w:t>Senate Journal</w:t>
        </w:r>
        <w:r w:rsidRPr="0082093C">
          <w:rPr>
            <w:rStyle w:val="Hyperlink"/>
            <w:rFonts w:cs="Times New Roman"/>
          </w:rPr>
          <w:noBreakHyphen/>
          <w:t>page 6</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291E1E">
        <w:rPr>
          <w:rFonts w:cs="Times New Roman"/>
        </w:rPr>
        <w:t xml:space="preserve">Referred </w:t>
      </w:r>
      <w:r>
        <w:rPr>
          <w:rFonts w:cs="Times New Roman"/>
        </w:rPr>
        <w:t xml:space="preserve">to Committee on </w:t>
      </w:r>
      <w:r w:rsidRPr="00291E1E">
        <w:rPr>
          <w:rFonts w:cs="Times New Roman"/>
          <w:b/>
        </w:rPr>
        <w:t>Medical Affairs</w:t>
      </w:r>
      <w:r>
        <w:rPr>
          <w:rFonts w:cs="Times New Roman"/>
        </w:rPr>
        <w:t xml:space="preserve"> </w:t>
      </w:r>
      <w:r w:rsidRPr="00291E1E">
        <w:rPr>
          <w:rFonts w:cs="Times New Roman"/>
        </w:rPr>
        <w:t>(</w:t>
      </w:r>
      <w:hyperlink r:id="rId15" w:history="1">
        <w:r w:rsidRPr="0082093C">
          <w:rPr>
            <w:rStyle w:val="Hyperlink"/>
            <w:rFonts w:cs="Times New Roman"/>
          </w:rPr>
          <w:t>Senate Journal</w:t>
        </w:r>
        <w:r w:rsidRPr="0082093C">
          <w:rPr>
            <w:rStyle w:val="Hyperlink"/>
            <w:rFonts w:cs="Times New Roman"/>
          </w:rPr>
          <w:noBreakHyphen/>
          <w:t>page 6</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r>
      <w:r>
        <w:rPr>
          <w:rFonts w:cs="Times New Roman"/>
        </w:rPr>
        <w:tab/>
      </w:r>
      <w:r w:rsidRPr="00291E1E">
        <w:rPr>
          <w:rFonts w:cs="Times New Roman"/>
        </w:rPr>
        <w:t>Scrivener's error corrected</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291E1E">
        <w:rPr>
          <w:rFonts w:cs="Times New Roman"/>
        </w:rPr>
        <w:t xml:space="preserve">Committee report: Favorable </w:t>
      </w:r>
      <w:r w:rsidRPr="00291E1E">
        <w:rPr>
          <w:rFonts w:cs="Times New Roman"/>
          <w:b/>
        </w:rPr>
        <w:t>Medical Affairs</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291E1E">
        <w:rPr>
          <w:rFonts w:cs="Times New Roman"/>
        </w:rPr>
        <w:t>Read second time (</w:t>
      </w:r>
      <w:hyperlink r:id="rId16" w:history="1">
        <w:r w:rsidRPr="0082093C">
          <w:rPr>
            <w:rStyle w:val="Hyperlink"/>
            <w:rFonts w:cs="Times New Roman"/>
          </w:rPr>
          <w:t>Senate Journal</w:t>
        </w:r>
        <w:r w:rsidRPr="0082093C">
          <w:rPr>
            <w:rStyle w:val="Hyperlink"/>
            <w:rFonts w:cs="Times New Roman"/>
          </w:rPr>
          <w:noBreakHyphen/>
          <w:t>page 17</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5/26/2015</w:t>
      </w:r>
      <w:r>
        <w:rPr>
          <w:rFonts w:cs="Times New Roman"/>
        </w:rPr>
        <w:tab/>
        <w:t>Senate</w:t>
      </w:r>
      <w:r>
        <w:rPr>
          <w:rFonts w:cs="Times New Roman"/>
        </w:rPr>
        <w:tab/>
      </w:r>
      <w:r w:rsidRPr="00291E1E">
        <w:rPr>
          <w:rFonts w:cs="Times New Roman"/>
        </w:rPr>
        <w:t>Roll call Ayes</w:t>
      </w:r>
      <w:r>
        <w:rPr>
          <w:rFonts w:cs="Times New Roman"/>
        </w:rPr>
        <w:noBreakHyphen/>
      </w:r>
      <w:r w:rsidRPr="00291E1E">
        <w:rPr>
          <w:rFonts w:cs="Times New Roman"/>
        </w:rPr>
        <w:t>43  Nays</w:t>
      </w:r>
      <w:r>
        <w:rPr>
          <w:rFonts w:cs="Times New Roman"/>
        </w:rPr>
        <w:noBreakHyphen/>
      </w:r>
      <w:r w:rsidRPr="00291E1E">
        <w:rPr>
          <w:rFonts w:cs="Times New Roman"/>
        </w:rPr>
        <w:t>0 (</w:t>
      </w:r>
      <w:hyperlink r:id="rId17" w:history="1">
        <w:r w:rsidRPr="0082093C">
          <w:rPr>
            <w:rStyle w:val="Hyperlink"/>
            <w:rFonts w:cs="Times New Roman"/>
          </w:rPr>
          <w:t>Senate Journal</w:t>
        </w:r>
        <w:r w:rsidRPr="0082093C">
          <w:rPr>
            <w:rStyle w:val="Hyperlink"/>
            <w:rFonts w:cs="Times New Roman"/>
          </w:rPr>
          <w:noBreakHyphen/>
          <w:t>page 17</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Senate</w:t>
      </w:r>
      <w:r>
        <w:rPr>
          <w:rFonts w:cs="Times New Roman"/>
        </w:rPr>
        <w:tab/>
      </w:r>
      <w:r w:rsidRPr="00291E1E">
        <w:rPr>
          <w:rFonts w:cs="Times New Roman"/>
        </w:rPr>
        <w:t>Read third time and enrolled (</w:t>
      </w:r>
      <w:hyperlink r:id="rId18" w:history="1">
        <w:r w:rsidRPr="0082093C">
          <w:rPr>
            <w:rStyle w:val="Hyperlink"/>
            <w:rFonts w:cs="Times New Roman"/>
          </w:rPr>
          <w:t>Senate Journal</w:t>
        </w:r>
        <w:r w:rsidRPr="0082093C">
          <w:rPr>
            <w:rStyle w:val="Hyperlink"/>
            <w:rFonts w:cs="Times New Roman"/>
          </w:rPr>
          <w:noBreakHyphen/>
          <w:t>page 10</w:t>
        </w:r>
      </w:hyperlink>
      <w:r w:rsidRPr="00291E1E">
        <w:rPr>
          <w:rFonts w:cs="Times New Roman"/>
        </w:rPr>
        <w:t>)</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6/2/2015</w:t>
      </w:r>
      <w:r>
        <w:rPr>
          <w:rFonts w:cs="Times New Roman"/>
        </w:rPr>
        <w:tab/>
      </w:r>
      <w:r>
        <w:rPr>
          <w:rFonts w:cs="Times New Roman"/>
        </w:rPr>
        <w:tab/>
      </w:r>
      <w:r w:rsidRPr="00291E1E">
        <w:rPr>
          <w:rFonts w:cs="Times New Roman"/>
        </w:rPr>
        <w:t>Ratified R 85</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6/3/2015</w:t>
      </w:r>
      <w:r>
        <w:rPr>
          <w:rFonts w:cs="Times New Roman"/>
        </w:rPr>
        <w:tab/>
      </w:r>
      <w:r>
        <w:rPr>
          <w:rFonts w:cs="Times New Roman"/>
        </w:rPr>
        <w:tab/>
      </w:r>
      <w:r w:rsidRPr="00291E1E">
        <w:rPr>
          <w:rFonts w:cs="Times New Roman"/>
        </w:rPr>
        <w:t>Signed By Governor</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6/8/2015</w:t>
      </w:r>
      <w:r>
        <w:rPr>
          <w:rFonts w:cs="Times New Roman"/>
        </w:rPr>
        <w:tab/>
      </w:r>
      <w:r>
        <w:rPr>
          <w:rFonts w:cs="Times New Roman"/>
        </w:rPr>
        <w:tab/>
      </w:r>
      <w:r w:rsidRPr="00291E1E">
        <w:rPr>
          <w:rFonts w:cs="Times New Roman"/>
        </w:rPr>
        <w:t>Effective date 06/03/15</w:t>
      </w:r>
    </w:p>
    <w:p w:rsidR="00D04C38" w:rsidRDefault="00D04C38" w:rsidP="00D04C38">
      <w:pPr>
        <w:widowControl w:val="0"/>
        <w:tabs>
          <w:tab w:val="right" w:pos="1008"/>
          <w:tab w:val="left" w:pos="1152"/>
          <w:tab w:val="left" w:pos="1872"/>
          <w:tab w:val="left" w:pos="9187"/>
        </w:tabs>
        <w:ind w:left="2088" w:hanging="2088"/>
        <w:rPr>
          <w:rFonts w:cs="Times New Roman"/>
        </w:rPr>
      </w:pPr>
      <w:r>
        <w:rPr>
          <w:rFonts w:cs="Times New Roman"/>
        </w:rPr>
        <w:tab/>
        <w:t>6/9/2015</w:t>
      </w:r>
      <w:r>
        <w:rPr>
          <w:rFonts w:cs="Times New Roman"/>
        </w:rPr>
        <w:tab/>
      </w:r>
      <w:r>
        <w:rPr>
          <w:rFonts w:cs="Times New Roman"/>
        </w:rPr>
        <w:tab/>
      </w:r>
      <w:r w:rsidRPr="00291E1E">
        <w:rPr>
          <w:rFonts w:cs="Times New Roman"/>
        </w:rPr>
        <w:t>Act No</w:t>
      </w:r>
      <w:r>
        <w:rPr>
          <w:rFonts w:cs="Times New Roman"/>
        </w:rPr>
        <w:t>. </w:t>
      </w:r>
      <w:r w:rsidRPr="00291E1E">
        <w:rPr>
          <w:rFonts w:cs="Times New Roman"/>
        </w:rPr>
        <w:t>54</w:t>
      </w:r>
    </w:p>
    <w:p w:rsidR="00D04C38" w:rsidRDefault="00D04C38" w:rsidP="00D04C38">
      <w:pPr>
        <w:widowControl w:val="0"/>
        <w:tabs>
          <w:tab w:val="right" w:pos="1008"/>
          <w:tab w:val="left" w:pos="1152"/>
          <w:tab w:val="left" w:pos="1872"/>
          <w:tab w:val="left" w:pos="9187"/>
        </w:tabs>
        <w:ind w:left="2088" w:hanging="2088"/>
        <w:rPr>
          <w:rFonts w:cs="Times New Roman"/>
        </w:rPr>
      </w:pPr>
    </w:p>
    <w:p w:rsidR="003D216D" w:rsidRPr="003D216D" w:rsidRDefault="003D216D" w:rsidP="003D216D">
      <w:pPr>
        <w:widowControl w:val="0"/>
        <w:tabs>
          <w:tab w:val="right" w:pos="1008"/>
          <w:tab w:val="left" w:pos="1152"/>
          <w:tab w:val="left" w:pos="1872"/>
          <w:tab w:val="left" w:pos="9187"/>
        </w:tabs>
        <w:ind w:left="2088" w:hanging="2088"/>
        <w:rPr>
          <w:rFonts w:eastAsia="Times New Roman" w:cs="Times New Roman"/>
          <w:szCs w:val="20"/>
        </w:rPr>
      </w:pPr>
      <w:r w:rsidRPr="003D216D">
        <w:rPr>
          <w:rFonts w:eastAsia="Times New Roman" w:cs="Times New Roman"/>
          <w:szCs w:val="20"/>
        </w:rPr>
        <w:t xml:space="preserve">View the latest </w:t>
      </w:r>
      <w:hyperlink r:id="rId19" w:history="1">
        <w:r w:rsidRPr="003D216D">
          <w:rPr>
            <w:rFonts w:eastAsia="Times New Roman" w:cs="Times New Roman"/>
            <w:color w:val="0000FF" w:themeColor="hyperlink"/>
            <w:szCs w:val="20"/>
            <w:u w:val="single"/>
          </w:rPr>
          <w:t>legislative information</w:t>
        </w:r>
      </w:hyperlink>
      <w:r w:rsidRPr="003D216D">
        <w:rPr>
          <w:rFonts w:eastAsia="Times New Roman" w:cs="Times New Roman"/>
          <w:szCs w:val="20"/>
        </w:rPr>
        <w:t xml:space="preserve"> at the website</w:t>
      </w:r>
    </w:p>
    <w:p w:rsidR="003D216D" w:rsidRPr="003D216D" w:rsidRDefault="003D216D" w:rsidP="003D216D">
      <w:pPr>
        <w:widowControl w:val="0"/>
        <w:tabs>
          <w:tab w:val="right" w:pos="1008"/>
          <w:tab w:val="left" w:pos="1152"/>
          <w:tab w:val="left" w:pos="1872"/>
          <w:tab w:val="left" w:pos="9187"/>
        </w:tabs>
        <w:ind w:left="2088" w:hanging="2088"/>
        <w:rPr>
          <w:rFonts w:eastAsia="Times New Roman" w:cs="Times New Roman"/>
          <w:szCs w:val="20"/>
        </w:rPr>
      </w:pPr>
    </w:p>
    <w:p w:rsidR="003D216D" w:rsidRPr="003D216D" w:rsidRDefault="003D216D" w:rsidP="003D216D">
      <w:pPr>
        <w:widowControl w:val="0"/>
        <w:tabs>
          <w:tab w:val="right" w:pos="1008"/>
          <w:tab w:val="left" w:pos="1152"/>
          <w:tab w:val="left" w:pos="1872"/>
          <w:tab w:val="left" w:pos="9187"/>
        </w:tabs>
        <w:ind w:left="2088" w:hanging="2088"/>
        <w:rPr>
          <w:rFonts w:eastAsia="Times New Roman" w:cs="Times New Roman"/>
          <w:szCs w:val="20"/>
        </w:rPr>
      </w:pP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D216D">
        <w:rPr>
          <w:rFonts w:eastAsia="Times New Roman" w:cs="Times New Roman"/>
          <w:b/>
          <w:szCs w:val="20"/>
        </w:rPr>
        <w:t>VERSIONS OF THIS BILL</w:t>
      </w:r>
    </w:p>
    <w:p w:rsidR="003D216D" w:rsidRPr="003D216D" w:rsidRDefault="003D216D"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D216D" w:rsidRPr="003D216D" w:rsidRDefault="0082093C" w:rsidP="003D21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3D216D" w:rsidRPr="003D216D">
          <w:rPr>
            <w:rFonts w:eastAsia="Times New Roman" w:cs="Times New Roman"/>
            <w:color w:val="0000FF" w:themeColor="hyperlink"/>
            <w:szCs w:val="20"/>
            <w:u w:val="single"/>
          </w:rPr>
          <w:t>12/11/2014</w:t>
        </w:r>
      </w:hyperlink>
    </w:p>
    <w:p w:rsidR="003D216D" w:rsidRPr="003D216D" w:rsidRDefault="0082093C" w:rsidP="003D2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3D216D" w:rsidRPr="003D216D">
          <w:rPr>
            <w:rFonts w:eastAsia="Times New Roman" w:cs="Times New Roman"/>
            <w:color w:val="0000FF" w:themeColor="hyperlink"/>
            <w:szCs w:val="20"/>
            <w:u w:val="single"/>
          </w:rPr>
          <w:t>4/22/2015</w:t>
        </w:r>
      </w:hyperlink>
    </w:p>
    <w:p w:rsidR="003D216D" w:rsidRPr="003D216D" w:rsidRDefault="0082093C" w:rsidP="003D2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D216D" w:rsidRPr="003D216D">
          <w:rPr>
            <w:rFonts w:eastAsia="Times New Roman" w:cs="Times New Roman"/>
            <w:color w:val="0000FF" w:themeColor="hyperlink"/>
            <w:szCs w:val="20"/>
            <w:u w:val="single"/>
          </w:rPr>
          <w:t>4/28/2015</w:t>
        </w:r>
      </w:hyperlink>
    </w:p>
    <w:p w:rsidR="003D216D" w:rsidRPr="003D216D" w:rsidRDefault="0082093C" w:rsidP="003D2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D216D" w:rsidRPr="003D216D">
          <w:rPr>
            <w:rFonts w:eastAsia="Times New Roman" w:cs="Times New Roman"/>
            <w:color w:val="0000FF" w:themeColor="hyperlink"/>
            <w:szCs w:val="20"/>
            <w:u w:val="single"/>
          </w:rPr>
          <w:t>5/5/2015</w:t>
        </w:r>
      </w:hyperlink>
    </w:p>
    <w:p w:rsidR="003D216D" w:rsidRPr="003D216D" w:rsidRDefault="0082093C" w:rsidP="003D2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D216D" w:rsidRPr="003D216D">
          <w:rPr>
            <w:rFonts w:eastAsia="Times New Roman" w:cs="Times New Roman"/>
            <w:color w:val="0000FF" w:themeColor="hyperlink"/>
            <w:szCs w:val="20"/>
            <w:u w:val="single"/>
          </w:rPr>
          <w:t>5/21/2015</w:t>
        </w:r>
      </w:hyperlink>
    </w:p>
    <w:p w:rsidR="003D216D" w:rsidRPr="003D216D" w:rsidRDefault="003D216D" w:rsidP="003D2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D216D" w:rsidRDefault="003D216D" w:rsidP="003D21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D216D" w:rsidSect="003D216D">
          <w:pgSz w:w="12240" w:h="15840" w:code="1"/>
          <w:pgMar w:top="1080" w:right="1440" w:bottom="1080" w:left="1440" w:header="720" w:footer="720" w:gutter="0"/>
          <w:pgNumType w:start="1"/>
          <w:cols w:space="720"/>
          <w:noEndnote/>
          <w:docGrid w:linePitch="360"/>
        </w:sectPr>
      </w:pPr>
    </w:p>
    <w:p w:rsidR="00446B5C"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(A54, R85, H3083)</w:t>
      </w:r>
    </w:p>
    <w:p w:rsidR="00446B5C" w:rsidRPr="008836A5"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46B5C" w:rsidRPr="003D216D"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D216D">
        <w:rPr>
          <w:rFonts w:cs="Times New Roman"/>
          <w:b/>
          <w:color w:val="000000" w:themeColor="text1"/>
          <w:szCs w:val="36"/>
        </w:rPr>
        <w:t xml:space="preserve">AN ACT </w:t>
      </w:r>
      <w:r w:rsidRPr="003D216D">
        <w:rPr>
          <w:rFonts w:cs="Times New Roman"/>
          <w:b/>
          <w:color w:val="000000" w:themeColor="text1"/>
          <w:u w:color="000000" w:themeColor="text1"/>
        </w:rPr>
        <w:t>TO AMEND THE CODE OF LAWS OF SOUTH CAROLINA, 1976, SO AS TO ENACT THE “SOUTH CAROLINA OVERDOSE PREVENTION ACT” BY ADDING CHAPTER 130 TO TITLE 44 SO AS TO ALLOW CERTAIN MEDICAL PROFESSIONALS TO PRESCRIBE OPIOID ANTIDOTES FOR INDIVIDUALS WHO THE MEDICAL PROFESSIONAL BELIEVES IN GOOD FAITH ARE AT RISK OF EXPERIENCING AN OPIOID OVERDOSE, TO REQUIRE MEDICAL PROFESSIONALS TO PROVIDE INSTRUCTIONAL INFORMATION TO A PERSON TO WHOM THE MEDICAL PROFESSIONAL PRESCRIBES AN OPIOID ANTIDOTE, TO ALLOW PHARMACISTS TO DISPENSE OPIOID ANTIDOTES PURSUANT TO A PRESCRIPTION, TO ALLOW CAREGIVERS AND FIRST RESPONDERS TO ADMINISTER OPIOID ANTIDOTES TO INDIVIDUALS WHO THE CAREGIVER OR FIRST RESPONDER BELIEVES IN GOOD FAITH ARE AT RISK OF EXPERIENCING AN OPIOID OVERDOSE, TO ALLOW PRESCRIBERS TO PRESCRIBE STANDING ORDERS FOR OPIOID ANTIDOTES TO FIRST RESPONDERS AND FOR FIRST RESPONDERS TO POSSESS THESE OPIOID ANTIDOTES, AND TO PROVIDE PROTECTIONS FROM CIVIL AND CRIMINAL LIABILITY FOR PRESCRIBING, DISPENSING, OR ADMINISTERING OPIOID ANTIDOTES, AND FOR OTHER PURPOSES.</w:t>
      </w:r>
    </w:p>
    <w:p w:rsidR="00446B5C"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46B5C"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Be it enacted by the General Assembly of the State of South Carolina:</w:t>
      </w:r>
    </w:p>
    <w:p w:rsidR="00446B5C"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B5C" w:rsidRPr="00E25676"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Health, opioid overdose prevention</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2785B">
        <w:rPr>
          <w:rFonts w:cs="Times New Roman"/>
        </w:rPr>
        <w:t>SECTION</w:t>
      </w:r>
      <w:r w:rsidRPr="0062785B">
        <w:rPr>
          <w:rFonts w:cs="Times New Roman"/>
        </w:rPr>
        <w:tab/>
        <w:t>1.</w:t>
      </w:r>
      <w:r w:rsidRPr="0062785B">
        <w:rPr>
          <w:rFonts w:cs="Times New Roman"/>
        </w:rPr>
        <w:tab/>
      </w:r>
      <w:r w:rsidRPr="0062785B">
        <w:rPr>
          <w:rFonts w:cs="Times New Roman"/>
          <w:u w:color="000000" w:themeColor="text1"/>
        </w:rPr>
        <w:t>Title 44 of the 1976 Code is amended by adding:</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62785B">
        <w:rPr>
          <w:rFonts w:cs="Times New Roman"/>
          <w:u w:color="000000" w:themeColor="text1"/>
        </w:rPr>
        <w:t>“CHAPTER 130</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62785B">
        <w:rPr>
          <w:rFonts w:cs="Times New Roman"/>
          <w:u w:color="000000" w:themeColor="text1"/>
        </w:rPr>
        <w:t>South Carolina Overdose Prevention Act</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62785B">
        <w:rPr>
          <w:rFonts w:cs="Times New Roman"/>
          <w:u w:color="000000" w:themeColor="text1"/>
        </w:rPr>
        <w:tab/>
        <w:t>Section 44</w:t>
      </w:r>
      <w:r w:rsidRPr="0062785B">
        <w:rPr>
          <w:rFonts w:cs="Times New Roman"/>
          <w:u w:color="000000" w:themeColor="text1"/>
        </w:rPr>
        <w:noBreakHyphen/>
        <w:t>130</w:t>
      </w:r>
      <w:r w:rsidRPr="0062785B">
        <w:rPr>
          <w:rFonts w:cs="Times New Roman"/>
          <w:u w:color="000000" w:themeColor="text1"/>
        </w:rPr>
        <w:noBreakHyphen/>
        <w:t>10.</w:t>
      </w:r>
      <w:r w:rsidRPr="0062785B">
        <w:rPr>
          <w:rFonts w:cs="Times New Roman"/>
          <w:u w:color="000000" w:themeColor="text1"/>
        </w:rPr>
        <w:tab/>
        <w:t xml:space="preserve">This chapter may be cited as the ‘South Carolina Overdose Prevention Act’.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Section 44</w:t>
      </w:r>
      <w:r w:rsidRPr="0062785B">
        <w:rPr>
          <w:rFonts w:cs="Times New Roman"/>
        </w:rPr>
        <w:noBreakHyphen/>
        <w:t>130</w:t>
      </w:r>
      <w:r w:rsidRPr="0062785B">
        <w:rPr>
          <w:rFonts w:cs="Times New Roman"/>
        </w:rPr>
        <w:noBreakHyphen/>
        <w:t>20.</w:t>
      </w:r>
      <w:r w:rsidRPr="0062785B">
        <w:rPr>
          <w:rFonts w:cs="Times New Roman"/>
        </w:rPr>
        <w:tab/>
        <w:t>For purposes of this chapter:</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(1)</w:t>
      </w:r>
      <w:r w:rsidRPr="0062785B">
        <w:rPr>
          <w:rFonts w:cs="Times New Roman"/>
        </w:rPr>
        <w:tab/>
        <w:t>‘Caregiver’ means a person who is not at risk of an opioid overdose but who, in the judgment of a physician, may be in a position to assist another individual during an overdose and who has received patient overdose information as required by Section 44</w:t>
      </w:r>
      <w:r w:rsidRPr="0062785B">
        <w:rPr>
          <w:rFonts w:cs="Times New Roman"/>
        </w:rPr>
        <w:noBreakHyphen/>
        <w:t>130</w:t>
      </w:r>
      <w:r w:rsidRPr="0062785B">
        <w:rPr>
          <w:rFonts w:cs="Times New Roman"/>
        </w:rPr>
        <w:noBreakHyphen/>
        <w:t>30 on the indications for and administration of an opioid antidote.</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(2)</w:t>
      </w:r>
      <w:r w:rsidRPr="0062785B">
        <w:rPr>
          <w:rFonts w:cs="Times New Roman"/>
        </w:rPr>
        <w:tab/>
        <w:t>‘Department’ means the Department of Health and Environmental Control.</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(3)</w:t>
      </w:r>
      <w:r w:rsidRPr="0062785B">
        <w:rPr>
          <w:rFonts w:cs="Times New Roman"/>
        </w:rPr>
        <w:tab/>
        <w:t>‘Drug overdose’ means an acute condition including, but not limited to, physical illness, coma, mania, hysteria, or death resulting from the consumption or use of a controlled substance or other substance with which a controlled substance was combined and that a layperson would reasonably believe to require medical assistance.</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(4)</w:t>
      </w:r>
      <w:r w:rsidRPr="0062785B">
        <w:rPr>
          <w:rFonts w:cs="Times New Roman"/>
        </w:rPr>
        <w:tab/>
        <w:t xml:space="preserve">‘First responder’ means an emergency medical services provider, a law enforcement officer, or a fire department worker directly engaged in examining, treating, or directing persons during an emergency.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(5)</w:t>
      </w:r>
      <w:r w:rsidRPr="0062785B">
        <w:rPr>
          <w:rFonts w:cs="Times New Roman"/>
        </w:rPr>
        <w:tab/>
        <w:t>‘Medical assistance’ means professional medical services that are provided to a person experiencing a drug overdose.</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(6)</w:t>
      </w:r>
      <w:r w:rsidRPr="0062785B">
        <w:rPr>
          <w:rFonts w:cs="Times New Roman"/>
        </w:rPr>
        <w:tab/>
        <w:t>‘Opioid antidote’ means naloxone hydrochloride or other similarly acting drug approved by the United States Food and Drug Administration for the treatment of an opioid overdose.</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(7)</w:t>
      </w:r>
      <w:r w:rsidRPr="0062785B">
        <w:rPr>
          <w:rFonts w:cs="Times New Roman"/>
        </w:rPr>
        <w:tab/>
        <w:t>‘Pharmacist’ means an individual licensed pursuant to Chapter 43, Title 40 to engage in the practice of pharmacy.</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(8)</w:t>
      </w:r>
      <w:r w:rsidRPr="0062785B">
        <w:rPr>
          <w:rFonts w:cs="Times New Roman"/>
        </w:rPr>
        <w:tab/>
        <w:t>‘Prescriber’ means a physician licensed pursuant to Chapter 47, Title 40, an advanced practice registered nurse licensed pursuant to Chapter 33, Title 40 and prescribing in accordance with the requirements of that chapter, and a physician assistant licensed pursuant to Article 7, Chapter 47, Title 40 and prescribing in accordance with the requirements of that article.</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u w:color="000000" w:themeColor="text1"/>
        </w:rPr>
        <w:tab/>
        <w:t>Section 44</w:t>
      </w:r>
      <w:r w:rsidRPr="0062785B">
        <w:rPr>
          <w:rFonts w:cs="Times New Roman"/>
          <w:u w:color="000000" w:themeColor="text1"/>
        </w:rPr>
        <w:noBreakHyphen/>
        <w:t>130</w:t>
      </w:r>
      <w:r w:rsidRPr="0062785B">
        <w:rPr>
          <w:rFonts w:cs="Times New Roman"/>
          <w:u w:color="000000" w:themeColor="text1"/>
        </w:rPr>
        <w:noBreakHyphen/>
        <w:t>30.</w:t>
      </w:r>
      <w:r w:rsidRPr="0062785B">
        <w:rPr>
          <w:rFonts w:cs="Times New Roman"/>
          <w:u w:color="000000" w:themeColor="text1"/>
        </w:rPr>
        <w:tab/>
        <w:t>(A)</w:t>
      </w:r>
      <w:r w:rsidRPr="0062785B">
        <w:rPr>
          <w:rFonts w:cs="Times New Roman"/>
          <w:u w:color="000000" w:themeColor="text1"/>
        </w:rPr>
        <w:tab/>
      </w:r>
      <w:r w:rsidRPr="0062785B">
        <w:rPr>
          <w:rFonts w:cs="Times New Roman"/>
        </w:rPr>
        <w:t>A prescriber acting in good faith and exercising reasonable care as a prescriber may issue a written prescription for an opioid antidote to:</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r>
      <w:r w:rsidRPr="0062785B">
        <w:rPr>
          <w:rFonts w:cs="Times New Roman"/>
        </w:rPr>
        <w:tab/>
        <w:t>(1)</w:t>
      </w:r>
      <w:r w:rsidRPr="0062785B">
        <w:rPr>
          <w:rFonts w:cs="Times New Roman"/>
        </w:rPr>
        <w:tab/>
        <w:t>a person who is at risk of experiencing an opioid</w:t>
      </w:r>
      <w:r w:rsidRPr="0062785B">
        <w:rPr>
          <w:rFonts w:cs="Times New Roman"/>
        </w:rPr>
        <w:noBreakHyphen/>
        <w:t xml:space="preserve">related overdose; or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r>
      <w:r w:rsidRPr="0062785B">
        <w:rPr>
          <w:rFonts w:cs="Times New Roman"/>
        </w:rPr>
        <w:tab/>
        <w:t>(2)</w:t>
      </w:r>
      <w:r w:rsidRPr="0062785B">
        <w:rPr>
          <w:rFonts w:cs="Times New Roman"/>
        </w:rPr>
        <w:tab/>
        <w:t xml:space="preserve">a caregiver for a person who is at risk of experiencing an opioid overdose whom the prescriber has not personally examined.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(B)(1)</w:t>
      </w:r>
      <w:r w:rsidRPr="0062785B">
        <w:rPr>
          <w:rFonts w:cs="Times New Roman"/>
        </w:rPr>
        <w:tab/>
        <w:t>The prescriber must provide to the person or the caregiver overdose information addressing the following:</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r>
      <w:r w:rsidRPr="0062785B">
        <w:rPr>
          <w:rFonts w:cs="Times New Roman"/>
        </w:rPr>
        <w:tab/>
      </w:r>
      <w:r w:rsidRPr="0062785B">
        <w:rPr>
          <w:rFonts w:cs="Times New Roman"/>
        </w:rPr>
        <w:tab/>
        <w:t>(a)</w:t>
      </w:r>
      <w:r w:rsidRPr="0062785B">
        <w:rPr>
          <w:rFonts w:cs="Times New Roman"/>
        </w:rPr>
        <w:tab/>
        <w:t xml:space="preserve">opioid overdose prevention and recognition;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r>
      <w:r w:rsidRPr="0062785B">
        <w:rPr>
          <w:rFonts w:cs="Times New Roman"/>
        </w:rPr>
        <w:tab/>
      </w:r>
      <w:r w:rsidRPr="0062785B">
        <w:rPr>
          <w:rFonts w:cs="Times New Roman"/>
        </w:rPr>
        <w:tab/>
        <w:t>(b)</w:t>
      </w:r>
      <w:r w:rsidRPr="0062785B">
        <w:rPr>
          <w:rFonts w:cs="Times New Roman"/>
        </w:rPr>
        <w:tab/>
        <w:t>opioid antidote dosage and administration;</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r>
      <w:r w:rsidRPr="0062785B">
        <w:rPr>
          <w:rFonts w:cs="Times New Roman"/>
        </w:rPr>
        <w:tab/>
      </w:r>
      <w:r w:rsidRPr="0062785B">
        <w:rPr>
          <w:rFonts w:cs="Times New Roman"/>
        </w:rPr>
        <w:tab/>
        <w:t>(c)</w:t>
      </w:r>
      <w:r w:rsidRPr="0062785B">
        <w:rPr>
          <w:rFonts w:cs="Times New Roman"/>
        </w:rPr>
        <w:tab/>
        <w:t xml:space="preserve">the importance of calling 911 emergency telephone service for medical assistance with an opioid overdose; and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r>
      <w:r w:rsidRPr="0062785B">
        <w:rPr>
          <w:rFonts w:cs="Times New Roman"/>
        </w:rPr>
        <w:tab/>
      </w:r>
      <w:r w:rsidRPr="0062785B">
        <w:rPr>
          <w:rFonts w:cs="Times New Roman"/>
        </w:rPr>
        <w:tab/>
        <w:t>(d)</w:t>
      </w:r>
      <w:r w:rsidRPr="0062785B">
        <w:rPr>
          <w:rFonts w:cs="Times New Roman"/>
        </w:rPr>
        <w:tab/>
        <w:t xml:space="preserve">care for an overdose victim after administration of the opioid antidote.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r>
      <w:r w:rsidRPr="0062785B">
        <w:rPr>
          <w:rFonts w:cs="Times New Roman"/>
        </w:rPr>
        <w:tab/>
        <w:t>(2)</w:t>
      </w:r>
      <w:r w:rsidRPr="0062785B">
        <w:rPr>
          <w:rFonts w:cs="Times New Roman"/>
        </w:rPr>
        <w:tab/>
        <w:t xml:space="preserve">The prescriber must document in the medical record that the opioid overdose information required by this subsection has been provided to the person or the caregiver.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(C)</w:t>
      </w:r>
      <w:r w:rsidRPr="0062785B">
        <w:rPr>
          <w:rFonts w:cs="Times New Roman"/>
        </w:rPr>
        <w:tab/>
        <w:t>A prescriber acting in good faith and exercising reasonable care may issue a standing order for a first responder to possess an opioid antidote for administration to a person whom the first responder believes to be experiencing an opioid</w:t>
      </w:r>
      <w:r w:rsidRPr="0062785B">
        <w:rPr>
          <w:rFonts w:cs="Times New Roman"/>
        </w:rPr>
        <w:noBreakHyphen/>
        <w:t xml:space="preserve">related overdose.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(D)</w:t>
      </w:r>
      <w:r w:rsidRPr="0062785B">
        <w:rPr>
          <w:rFonts w:cs="Times New Roman"/>
        </w:rPr>
        <w:tab/>
        <w:t>A prescriber who issues a written prescription or a standing order for an opioid antidote in accordance with the provisions of this section is not as a result of an act or omission subject to civil or criminal liability or to professional disciplinary action.</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u w:color="000000" w:themeColor="text1"/>
        </w:rPr>
        <w:tab/>
        <w:t>Section 44</w:t>
      </w:r>
      <w:r w:rsidRPr="0062785B">
        <w:rPr>
          <w:rFonts w:cs="Times New Roman"/>
          <w:u w:color="000000" w:themeColor="text1"/>
        </w:rPr>
        <w:noBreakHyphen/>
        <w:t>130</w:t>
      </w:r>
      <w:r w:rsidRPr="0062785B">
        <w:rPr>
          <w:rFonts w:cs="Times New Roman"/>
          <w:u w:color="000000" w:themeColor="text1"/>
        </w:rPr>
        <w:noBreakHyphen/>
        <w:t>40.</w:t>
      </w:r>
      <w:r w:rsidRPr="0062785B">
        <w:rPr>
          <w:rFonts w:cs="Times New Roman"/>
          <w:u w:color="000000" w:themeColor="text1"/>
        </w:rPr>
        <w:tab/>
        <w:t>(A)</w:t>
      </w:r>
      <w:r w:rsidRPr="0062785B">
        <w:rPr>
          <w:rFonts w:cs="Times New Roman"/>
          <w:u w:color="000000" w:themeColor="text1"/>
        </w:rPr>
        <w:tab/>
      </w:r>
      <w:r w:rsidRPr="0062785B">
        <w:rPr>
          <w:rFonts w:cs="Times New Roman"/>
        </w:rPr>
        <w:t xml:space="preserve">A pharmacist acting in good faith and exercising reasonable care as a pharmacist may dispense an opioid antidote pursuant to a written prescription or standing order by a prescriber.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(B)</w:t>
      </w:r>
      <w:r w:rsidRPr="0062785B">
        <w:rPr>
          <w:rFonts w:cs="Times New Roman"/>
        </w:rPr>
        <w:tab/>
        <w:t xml:space="preserve">A pharmacist dispensing an opioid antidote in accordance with the provisions of this section is not as a result of an act or omission subject to civil or criminal liability or to professional disciplinary action.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u w:color="000000" w:themeColor="text1"/>
        </w:rPr>
        <w:tab/>
        <w:t>Section 44</w:t>
      </w:r>
      <w:r w:rsidRPr="0062785B">
        <w:rPr>
          <w:rFonts w:cs="Times New Roman"/>
          <w:u w:color="000000" w:themeColor="text1"/>
        </w:rPr>
        <w:noBreakHyphen/>
        <w:t>130</w:t>
      </w:r>
      <w:r w:rsidRPr="0062785B">
        <w:rPr>
          <w:rFonts w:cs="Times New Roman"/>
          <w:u w:color="000000" w:themeColor="text1"/>
        </w:rPr>
        <w:noBreakHyphen/>
        <w:t>50.</w:t>
      </w:r>
      <w:r w:rsidRPr="0062785B">
        <w:rPr>
          <w:rFonts w:cs="Times New Roman"/>
          <w:u w:color="000000" w:themeColor="text1"/>
        </w:rPr>
        <w:tab/>
        <w:t>(A)</w:t>
      </w:r>
      <w:r w:rsidRPr="0062785B">
        <w:rPr>
          <w:rFonts w:cs="Times New Roman"/>
          <w:u w:color="000000" w:themeColor="text1"/>
        </w:rPr>
        <w:tab/>
      </w:r>
      <w:r w:rsidRPr="0062785B">
        <w:rPr>
          <w:rFonts w:cs="Times New Roman"/>
        </w:rPr>
        <w:t>A caregiver may in an emergency administer, without fee, an opioid antidote to a person whom the caregiver believes in good faith is experiencing an opioid overdose if the caregiver has received the opioid overdose information provided for in Section 44</w:t>
      </w:r>
      <w:r w:rsidRPr="0062785B">
        <w:rPr>
          <w:rFonts w:cs="Times New Roman"/>
        </w:rPr>
        <w:noBreakHyphen/>
        <w:t>130</w:t>
      </w:r>
      <w:r w:rsidRPr="0062785B">
        <w:rPr>
          <w:rFonts w:cs="Times New Roman"/>
        </w:rPr>
        <w:noBreakHyphen/>
        <w:t>30.</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(B)</w:t>
      </w:r>
      <w:r w:rsidRPr="0062785B">
        <w:rPr>
          <w:rFonts w:cs="Times New Roman"/>
        </w:rPr>
        <w:tab/>
        <w:t>A caregiver who administers an opioid antidote in accordance with the provisions of this section is not subject to civil or criminal liability.</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Section 44</w:t>
      </w:r>
      <w:r w:rsidRPr="0062785B">
        <w:rPr>
          <w:rFonts w:cs="Times New Roman"/>
        </w:rPr>
        <w:noBreakHyphen/>
        <w:t>130</w:t>
      </w:r>
      <w:r w:rsidRPr="0062785B">
        <w:rPr>
          <w:rFonts w:cs="Times New Roman"/>
        </w:rPr>
        <w:noBreakHyphen/>
        <w:t>60.</w:t>
      </w:r>
      <w:r w:rsidRPr="0062785B">
        <w:rPr>
          <w:rFonts w:cs="Times New Roman"/>
        </w:rPr>
        <w:tab/>
        <w:t>(A)</w:t>
      </w:r>
      <w:r w:rsidRPr="0062785B">
        <w:rPr>
          <w:rFonts w:cs="Times New Roman"/>
        </w:rPr>
        <w:tab/>
        <w:t xml:space="preserve">A first responder may administer an opioid antidote in an emergency if the first responder believes in good faith that the person is experiencing an opioid overdose. </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(B)</w:t>
      </w:r>
      <w:r w:rsidRPr="0062785B">
        <w:rPr>
          <w:rFonts w:cs="Times New Roman"/>
        </w:rPr>
        <w:tab/>
        <w:t>The first responder must comply with all applicable requirements for possession, administration, and disposal of the opioid antidote and administration device. The department may promulgate regulations to implement this section, including appropriate training for first responders who carry or have access to an opioid antidote.</w:t>
      </w:r>
    </w:p>
    <w:p w:rsidR="00446B5C"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rPr>
        <w:tab/>
        <w:t>(C)</w:t>
      </w:r>
      <w:r w:rsidRPr="0062785B">
        <w:rPr>
          <w:rFonts w:cs="Times New Roman"/>
        </w:rPr>
        <w:tab/>
        <w:t>A first responder who administers an opioid antidote in accordance with the provisions of this section to a person whom the first responder believes in good faith is experiencing an opioid overdose is not by an act or omission subject to civil or criminal liability or to professional disciplinary action.”</w:t>
      </w:r>
    </w:p>
    <w:p w:rsidR="00446B5C"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46B5C" w:rsidRPr="00E25676"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446B5C" w:rsidRPr="0062785B"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2785B">
        <w:rPr>
          <w:rFonts w:cs="Times New Roman"/>
          <w:u w:color="000000" w:themeColor="text1"/>
        </w:rPr>
        <w:t>SECTION</w:t>
      </w:r>
      <w:r w:rsidRPr="0062785B">
        <w:rPr>
          <w:rFonts w:cs="Times New Roman"/>
          <w:u w:color="000000" w:themeColor="text1"/>
        </w:rPr>
        <w:tab/>
        <w:t>2.</w:t>
      </w:r>
      <w:r w:rsidRPr="0062785B">
        <w:rPr>
          <w:rFonts w:cs="Times New Roman"/>
          <w:u w:color="000000" w:themeColor="text1"/>
        </w:rPr>
        <w:tab/>
        <w:t>This act takes effect upon approval by the Governor.</w:t>
      </w:r>
    </w:p>
    <w:p w:rsidR="00446B5C"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46B5C" w:rsidRDefault="00446B5C"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2015.</w:t>
      </w:r>
    </w:p>
    <w:p w:rsidR="00446B5C" w:rsidRDefault="00446B5C" w:rsidP="00446B5C">
      <w:pPr>
        <w:jc w:val="both"/>
        <w:rPr>
          <w:color w:val="000000" w:themeColor="text1"/>
        </w:rPr>
      </w:pPr>
    </w:p>
    <w:p w:rsidR="00446B5C" w:rsidRDefault="00446B5C" w:rsidP="00446B5C">
      <w:pPr>
        <w:jc w:val="both"/>
        <w:rPr>
          <w:color w:val="000000" w:themeColor="text1"/>
        </w:rPr>
      </w:pPr>
      <w:r>
        <w:rPr>
          <w:color w:val="000000" w:themeColor="text1"/>
        </w:rPr>
        <w:t>Approved the 3</w:t>
      </w:r>
      <w:r w:rsidRPr="00EF4764">
        <w:rPr>
          <w:color w:val="000000" w:themeColor="text1"/>
          <w:vertAlign w:val="superscript"/>
        </w:rPr>
        <w:t>rd</w:t>
      </w:r>
      <w:r>
        <w:rPr>
          <w:color w:val="000000" w:themeColor="text1"/>
        </w:rPr>
        <w:t xml:space="preserve"> day of June, 2015. </w:t>
      </w:r>
    </w:p>
    <w:p w:rsidR="00446B5C" w:rsidRDefault="00446B5C" w:rsidP="00446B5C">
      <w:pPr>
        <w:jc w:val="center"/>
        <w:rPr>
          <w:color w:val="000000" w:themeColor="text1"/>
        </w:rPr>
      </w:pPr>
    </w:p>
    <w:p w:rsidR="00446B5C" w:rsidRDefault="00446B5C" w:rsidP="00446B5C">
      <w:pPr>
        <w:jc w:val="center"/>
        <w:rPr>
          <w:color w:val="000000" w:themeColor="text1"/>
        </w:rPr>
      </w:pPr>
      <w:r>
        <w:rPr>
          <w:color w:val="000000" w:themeColor="text1"/>
        </w:rPr>
        <w:t>__________</w:t>
      </w:r>
    </w:p>
    <w:p w:rsidR="003D216D" w:rsidRPr="00505FCD" w:rsidRDefault="003D216D" w:rsidP="00446B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D216D" w:rsidRPr="00505FCD" w:rsidSect="003D216D">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1BD" w:rsidRDefault="005051BD" w:rsidP="007D5FAC">
      <w:r>
        <w:separator/>
      </w:r>
    </w:p>
  </w:endnote>
  <w:endnote w:type="continuationSeparator" w:id="0">
    <w:p w:rsidR="005051BD" w:rsidRDefault="005051B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6D" w:rsidRPr="003D216D" w:rsidRDefault="003D216D" w:rsidP="003D216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F6168">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16D" w:rsidRDefault="003D21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1BD" w:rsidRDefault="005051BD" w:rsidP="007D5FAC">
      <w:r>
        <w:separator/>
      </w:r>
    </w:p>
  </w:footnote>
  <w:footnote w:type="continuationSeparator" w:id="0">
    <w:p w:rsidR="005051BD" w:rsidRDefault="005051B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083"/>
    <w:docVar w:name="ActSecretary" w:val="Huth"/>
    <w:docVar w:name="ActSIdno" w:val="(47)  3083VR15"/>
    <w:docVar w:name="clipname" w:val="3083VR15"/>
    <w:docVar w:name="dvBillNumber" w:val="3083"/>
    <w:docVar w:name="dvBillNumberPrefix" w:val="H"/>
    <w:docVar w:name="dvOriginalBody" w:val="House"/>
    <w:docVar w:name="HOUSEACTFULLPATH" w:val="L:\COUNCIL\ACTS\3083VR15.DOCX"/>
    <w:docVar w:name="OrigHOUSEBillNo" w:val="3083"/>
    <w:docVar w:name="WhatActtype" w:val="AN ACT"/>
  </w:docVars>
  <w:rsids>
    <w:rsidRoot w:val="002624A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2B38"/>
    <w:rsid w:val="001030FE"/>
    <w:rsid w:val="001031AE"/>
    <w:rsid w:val="00103295"/>
    <w:rsid w:val="00103D2E"/>
    <w:rsid w:val="00104519"/>
    <w:rsid w:val="00106968"/>
    <w:rsid w:val="001100ED"/>
    <w:rsid w:val="00114917"/>
    <w:rsid w:val="001237B9"/>
    <w:rsid w:val="00131CE5"/>
    <w:rsid w:val="00135DDF"/>
    <w:rsid w:val="00136AA0"/>
    <w:rsid w:val="00141278"/>
    <w:rsid w:val="00142277"/>
    <w:rsid w:val="0014525A"/>
    <w:rsid w:val="001626DB"/>
    <w:rsid w:val="00167780"/>
    <w:rsid w:val="00170F30"/>
    <w:rsid w:val="00172771"/>
    <w:rsid w:val="001747A9"/>
    <w:rsid w:val="001750EA"/>
    <w:rsid w:val="001754BB"/>
    <w:rsid w:val="0018353C"/>
    <w:rsid w:val="00195F4E"/>
    <w:rsid w:val="001A646B"/>
    <w:rsid w:val="001A75A0"/>
    <w:rsid w:val="001B0909"/>
    <w:rsid w:val="001B201B"/>
    <w:rsid w:val="001B65B6"/>
    <w:rsid w:val="001B78F9"/>
    <w:rsid w:val="001B7FF5"/>
    <w:rsid w:val="001C390F"/>
    <w:rsid w:val="001C569B"/>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4AC6"/>
    <w:rsid w:val="00215235"/>
    <w:rsid w:val="00223E0F"/>
    <w:rsid w:val="002240A6"/>
    <w:rsid w:val="00225207"/>
    <w:rsid w:val="00226AE7"/>
    <w:rsid w:val="00231146"/>
    <w:rsid w:val="002321B6"/>
    <w:rsid w:val="00234401"/>
    <w:rsid w:val="00234E70"/>
    <w:rsid w:val="002367D4"/>
    <w:rsid w:val="00241B81"/>
    <w:rsid w:val="00241C04"/>
    <w:rsid w:val="002423EA"/>
    <w:rsid w:val="00242F15"/>
    <w:rsid w:val="00254411"/>
    <w:rsid w:val="00254FFA"/>
    <w:rsid w:val="00257ACD"/>
    <w:rsid w:val="002624AB"/>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5518"/>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16D"/>
    <w:rsid w:val="003D2A73"/>
    <w:rsid w:val="003D5256"/>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6B5C"/>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51BD"/>
    <w:rsid w:val="00505FCD"/>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25C9"/>
    <w:rsid w:val="005E36AC"/>
    <w:rsid w:val="005F79FF"/>
    <w:rsid w:val="00602ACC"/>
    <w:rsid w:val="006055BC"/>
    <w:rsid w:val="00605B6E"/>
    <w:rsid w:val="00605C15"/>
    <w:rsid w:val="0060700F"/>
    <w:rsid w:val="00607936"/>
    <w:rsid w:val="00612BB0"/>
    <w:rsid w:val="00616994"/>
    <w:rsid w:val="006236C9"/>
    <w:rsid w:val="00625487"/>
    <w:rsid w:val="00626F43"/>
    <w:rsid w:val="0063724D"/>
    <w:rsid w:val="0064018A"/>
    <w:rsid w:val="00641A70"/>
    <w:rsid w:val="00643998"/>
    <w:rsid w:val="0064651C"/>
    <w:rsid w:val="00647421"/>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6168"/>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093C"/>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456F"/>
    <w:rsid w:val="008B2051"/>
    <w:rsid w:val="008B347C"/>
    <w:rsid w:val="008B48BD"/>
    <w:rsid w:val="008C325E"/>
    <w:rsid w:val="008D64D1"/>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2653"/>
    <w:rsid w:val="00B37014"/>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4C38"/>
    <w:rsid w:val="00D06DCC"/>
    <w:rsid w:val="00D1180E"/>
    <w:rsid w:val="00D132DB"/>
    <w:rsid w:val="00D13C21"/>
    <w:rsid w:val="00D16DAA"/>
    <w:rsid w:val="00D17AD0"/>
    <w:rsid w:val="00D17FE1"/>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5676"/>
    <w:rsid w:val="00E33964"/>
    <w:rsid w:val="00E33DFF"/>
    <w:rsid w:val="00E3462F"/>
    <w:rsid w:val="00E36231"/>
    <w:rsid w:val="00E36F7D"/>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63DE26E6-855E-4288-9102-EFDA2DD5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D216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B370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014"/>
    <w:rPr>
      <w:rFonts w:ascii="Segoe UI" w:hAnsi="Segoe UI" w:cs="Segoe UI"/>
      <w:sz w:val="18"/>
      <w:szCs w:val="18"/>
    </w:rPr>
  </w:style>
  <w:style w:type="table" w:styleId="TableGrid">
    <w:name w:val="Table Grid"/>
    <w:basedOn w:val="TableNormal"/>
    <w:uiPriority w:val="59"/>
    <w:rsid w:val="001100E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D216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B09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1-13-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5\05-28-15.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5-16\3083_20150422.docx" TargetMode="External"/><Relationship Id="rId7" Type="http://schemas.openxmlformats.org/officeDocument/2006/relationships/hyperlink" Target="file:///h:\HJ%20Archive\2015\01-13-15.docx" TargetMode="External"/><Relationship Id="rId12" Type="http://schemas.openxmlformats.org/officeDocument/2006/relationships/hyperlink" Target="file:///h:\HJ%20Archive\2015\04-28-15.docx" TargetMode="External"/><Relationship Id="rId17" Type="http://schemas.openxmlformats.org/officeDocument/2006/relationships/hyperlink" Target="file:///h:\SJ%20Archive\2015\05-26-15.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5\05-26-15.docx" TargetMode="External"/><Relationship Id="rId20" Type="http://schemas.openxmlformats.org/officeDocument/2006/relationships/hyperlink" Target="file:///p:\pprever\2015-16\3083_201412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file:///p:\pprever\2015-16\3083_20150521.docx" TargetMode="Externa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p:\pprever\2015-16\3083_20150505.docx" TargetMode="External"/><Relationship Id="rId28" Type="http://schemas.openxmlformats.org/officeDocument/2006/relationships/theme" Target="theme/theme1.xml"/><Relationship Id="rId10" Type="http://schemas.openxmlformats.org/officeDocument/2006/relationships/hyperlink" Target="file:///h:\HJ%20Archive\2015\04-28-15.docx" TargetMode="External"/><Relationship Id="rId19" Type="http://schemas.openxmlformats.org/officeDocument/2006/relationships/hyperlink" Target="http://www.scstatehouse.gov/billsearch.php?billnumbers=3083&amp;session=121&amp;summary=B" TargetMode="External"/><Relationship Id="rId4" Type="http://schemas.openxmlformats.org/officeDocument/2006/relationships/webSettings" Target="webSettings.xml"/><Relationship Id="rId9" Type="http://schemas.openxmlformats.org/officeDocument/2006/relationships/hyperlink" Target="file:///h:\HJ%20Archive\2015\04-22-15.docx" TargetMode="External"/><Relationship Id="rId14" Type="http://schemas.openxmlformats.org/officeDocument/2006/relationships/hyperlink" Target="file:///h:\SJ%20Archive\2015\04-29-15.docx" TargetMode="External"/><Relationship Id="rId22" Type="http://schemas.openxmlformats.org/officeDocument/2006/relationships/hyperlink" Target="file:///p:\pprever\2015-16\3083_2015042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EFE24-FF78-4A95-B673-4E73918F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3083: S.C. Overdose Prevention Act - South Carolina Legislature Online</dc:title>
  <dc:subject/>
  <dc:creator>%USERNAME%</dc:creator>
  <cp:keywords/>
  <dc:description/>
  <cp:lastModifiedBy>N Cumfer</cp:lastModifiedBy>
  <cp:revision>2</cp:revision>
  <cp:lastPrinted>2015-05-28T16:02:00Z</cp:lastPrinted>
  <dcterms:created xsi:type="dcterms:W3CDTF">2016-12-02T17:43:00Z</dcterms:created>
  <dcterms:modified xsi:type="dcterms:W3CDTF">2016-12-02T17:43:00Z</dcterms:modified>
</cp:coreProperties>
</file>