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924BF">
        <w:rPr>
          <w:rFonts w:eastAsia="Times New Roman" w:cs="Times New Roman"/>
          <w:b/>
          <w:szCs w:val="20"/>
        </w:rPr>
        <w:t>South Carolina General Assembly</w:t>
      </w: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924BF">
        <w:rPr>
          <w:rFonts w:eastAsia="Times New Roman" w:cs="Times New Roman"/>
          <w:szCs w:val="20"/>
        </w:rPr>
        <w:t>121st Session, 2015-2016</w:t>
      </w: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24BF" w:rsidRPr="00C924BF" w:rsidRDefault="00D16839"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 xml:space="preserve">A272, </w:t>
      </w:r>
      <w:r w:rsidR="001544E7">
        <w:rPr>
          <w:rFonts w:eastAsia="Times New Roman" w:cs="Times New Roman"/>
          <w:b/>
          <w:szCs w:val="20"/>
        </w:rPr>
        <w:t>R297, H3147</w:t>
      </w: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24BF">
        <w:rPr>
          <w:rFonts w:eastAsia="Times New Roman" w:cs="Times New Roman"/>
          <w:b/>
          <w:szCs w:val="20"/>
        </w:rPr>
        <w:t>STATUS INFORMATION</w:t>
      </w: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24BF">
        <w:rPr>
          <w:rFonts w:eastAsia="Times New Roman" w:cs="Times New Roman"/>
          <w:szCs w:val="20"/>
        </w:rPr>
        <w:t>General Bill</w:t>
      </w: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24BF">
        <w:rPr>
          <w:rFonts w:eastAsia="Times New Roman" w:cs="Times New Roman"/>
          <w:szCs w:val="20"/>
        </w:rPr>
        <w:t>Sponsors: Reps. G.M. Smith, G.R. Smith, Huggins, Weeks, Taylor, Pope, Collins, Johnson, Stavrinakis, Yow, Clemmons, Goldfinch, Murphy, J.E. Smith and Mitchell</w:t>
      </w: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24BF">
        <w:rPr>
          <w:rFonts w:eastAsia="Times New Roman" w:cs="Times New Roman"/>
          <w:szCs w:val="20"/>
        </w:rPr>
        <w:t>Document Path: l:\council\bills\agm\18336dg15.docx</w:t>
      </w: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24BF">
        <w:rPr>
          <w:rFonts w:eastAsia="Times New Roman" w:cs="Times New Roman"/>
          <w:szCs w:val="20"/>
        </w:rPr>
        <w:t>Companion/Similar bill(s): 33, 42, 161</w:t>
      </w: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47C9" w:rsidRDefault="00A347C9"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A347C9" w:rsidRDefault="00A347C9"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A347C9" w:rsidRDefault="00A347C9"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 2016</w:t>
      </w:r>
    </w:p>
    <w:p w:rsidR="00A347C9" w:rsidRDefault="00A347C9"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A347C9" w:rsidRDefault="00A347C9"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2016, Signed</w:t>
      </w:r>
    </w:p>
    <w:p w:rsidR="00A347C9" w:rsidRDefault="00A347C9"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24BF">
        <w:rPr>
          <w:rFonts w:eastAsia="Times New Roman" w:cs="Times New Roman"/>
          <w:szCs w:val="20"/>
        </w:rPr>
        <w:t>Summary: Taxable income deductions</w:t>
      </w: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24BF" w:rsidRPr="00C924BF" w:rsidRDefault="00C924BF" w:rsidP="00C924BF">
      <w:pPr>
        <w:widowControl w:val="0"/>
        <w:tabs>
          <w:tab w:val="center" w:pos="590"/>
          <w:tab w:val="center" w:pos="1440"/>
          <w:tab w:val="left" w:pos="1872"/>
          <w:tab w:val="left" w:pos="9187"/>
        </w:tabs>
        <w:rPr>
          <w:rFonts w:eastAsia="Times New Roman" w:cs="Times New Roman"/>
          <w:szCs w:val="20"/>
        </w:rPr>
      </w:pPr>
      <w:r w:rsidRPr="00C924BF">
        <w:rPr>
          <w:rFonts w:eastAsia="Times New Roman" w:cs="Times New Roman"/>
          <w:b/>
          <w:szCs w:val="20"/>
        </w:rPr>
        <w:t>HISTORY OF LEGISLATIVE ACTIONS</w:t>
      </w:r>
    </w:p>
    <w:p w:rsidR="00C924BF" w:rsidRPr="00C924BF" w:rsidRDefault="00C924BF" w:rsidP="00C924BF">
      <w:pPr>
        <w:widowControl w:val="0"/>
        <w:tabs>
          <w:tab w:val="center" w:pos="590"/>
          <w:tab w:val="center" w:pos="1440"/>
          <w:tab w:val="left" w:pos="1872"/>
          <w:tab w:val="left" w:pos="9187"/>
        </w:tabs>
        <w:rPr>
          <w:rFonts w:eastAsia="Times New Roman" w:cs="Times New Roman"/>
          <w:szCs w:val="20"/>
        </w:rPr>
      </w:pPr>
    </w:p>
    <w:p w:rsidR="00C924BF" w:rsidRPr="00C924BF" w:rsidRDefault="00C924BF" w:rsidP="00C924BF">
      <w:pPr>
        <w:widowControl w:val="0"/>
        <w:tabs>
          <w:tab w:val="center" w:pos="590"/>
          <w:tab w:val="center" w:pos="1440"/>
          <w:tab w:val="left" w:pos="1872"/>
          <w:tab w:val="left" w:pos="9187"/>
        </w:tabs>
        <w:rPr>
          <w:rFonts w:eastAsia="Times New Roman" w:cs="Times New Roman"/>
          <w:szCs w:val="20"/>
        </w:rPr>
      </w:pPr>
      <w:r w:rsidRPr="00C924BF">
        <w:rPr>
          <w:rFonts w:eastAsia="Times New Roman" w:cs="Times New Roman"/>
          <w:szCs w:val="20"/>
          <w:u w:val="single"/>
        </w:rPr>
        <w:tab/>
        <w:t>Date</w:t>
      </w:r>
      <w:r w:rsidRPr="00C924BF">
        <w:rPr>
          <w:rFonts w:eastAsia="Times New Roman" w:cs="Times New Roman"/>
          <w:szCs w:val="20"/>
          <w:u w:val="single"/>
        </w:rPr>
        <w:tab/>
        <w:t>Body</w:t>
      </w:r>
      <w:r w:rsidRPr="00C924BF">
        <w:rPr>
          <w:rFonts w:eastAsia="Times New Roman" w:cs="Times New Roman"/>
          <w:szCs w:val="20"/>
          <w:u w:val="single"/>
        </w:rPr>
        <w:tab/>
        <w:t>Action Description with journal page number</w:t>
      </w:r>
      <w:r w:rsidRPr="00C924BF">
        <w:rPr>
          <w:rFonts w:eastAsia="Times New Roman" w:cs="Times New Roman"/>
          <w:szCs w:val="20"/>
          <w:u w:val="single"/>
        </w:rPr>
        <w:tab/>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4B5243">
        <w:rPr>
          <w:rFonts w:cs="Times New Roman"/>
        </w:rPr>
        <w:t>Prefiled</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4B5243">
        <w:rPr>
          <w:rFonts w:cs="Times New Roman"/>
        </w:rPr>
        <w:t xml:space="preserve">Referred to Committee on </w:t>
      </w:r>
      <w:r w:rsidRPr="004B5243">
        <w:rPr>
          <w:rFonts w:cs="Times New Roman"/>
          <w:b/>
        </w:rPr>
        <w:t>Ways and Means</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4B5243">
        <w:rPr>
          <w:rFonts w:cs="Times New Roman"/>
        </w:rPr>
        <w:t>Introduced and read first time</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4B5243">
        <w:rPr>
          <w:rFonts w:cs="Times New Roman"/>
        </w:rPr>
        <w:t xml:space="preserve">Referred to Committee on </w:t>
      </w:r>
      <w:r w:rsidRPr="004B5243">
        <w:rPr>
          <w:rFonts w:cs="Times New Roman"/>
          <w:b/>
        </w:rPr>
        <w:t>Ways and Means</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House</w:t>
      </w:r>
      <w:r>
        <w:rPr>
          <w:rFonts w:cs="Times New Roman"/>
        </w:rPr>
        <w:tab/>
      </w:r>
      <w:r w:rsidRPr="004B5243">
        <w:rPr>
          <w:rFonts w:cs="Times New Roman"/>
        </w:rPr>
        <w:t>Member(s) request name added as sponsor: Huggins</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4B5243">
        <w:rPr>
          <w:rFonts w:cs="Times New Roman"/>
        </w:rPr>
        <w:t>Member(s) request name added as sponsor: Weeks</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t>House</w:t>
      </w:r>
      <w:r>
        <w:rPr>
          <w:rFonts w:cs="Times New Roman"/>
        </w:rPr>
        <w:tab/>
      </w:r>
      <w:r w:rsidRPr="004B5243">
        <w:rPr>
          <w:rFonts w:cs="Times New Roman"/>
        </w:rPr>
        <w:t>Member(s) request name added as sponsor: Taylor</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4B5243">
        <w:rPr>
          <w:rFonts w:cs="Times New Roman"/>
        </w:rPr>
        <w:t>Member(s) request name removed as sponsor: Cobb</w:t>
      </w:r>
      <w:r>
        <w:rPr>
          <w:rFonts w:cs="Times New Roman"/>
        </w:rPr>
        <w:noBreakHyphen/>
      </w:r>
      <w:r w:rsidRPr="004B5243">
        <w:rPr>
          <w:rFonts w:cs="Times New Roman"/>
        </w:rPr>
        <w:t>Hunter</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4B5243">
        <w:rPr>
          <w:rFonts w:cs="Times New Roman"/>
        </w:rPr>
        <w:t>Member(s) request name added as sponsor: Pope</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House</w:t>
      </w:r>
      <w:r>
        <w:rPr>
          <w:rFonts w:cs="Times New Roman"/>
        </w:rPr>
        <w:tab/>
      </w:r>
      <w:r w:rsidRPr="004B5243">
        <w:rPr>
          <w:rFonts w:cs="Times New Roman"/>
        </w:rPr>
        <w:t xml:space="preserve">Member(s) request </w:t>
      </w:r>
      <w:r>
        <w:rPr>
          <w:rFonts w:cs="Times New Roman"/>
        </w:rPr>
        <w:t xml:space="preserve">name added as sponsor: Collins, </w:t>
      </w:r>
      <w:r w:rsidRPr="004B5243">
        <w:rPr>
          <w:rFonts w:cs="Times New Roman"/>
        </w:rPr>
        <w:t>Johnson</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4B5243">
        <w:rPr>
          <w:rFonts w:cs="Times New Roman"/>
        </w:rPr>
        <w:t>Member(s)</w:t>
      </w:r>
      <w:r>
        <w:rPr>
          <w:rFonts w:cs="Times New Roman"/>
        </w:rPr>
        <w:t xml:space="preserve"> request name added as sponsor: </w:t>
      </w:r>
      <w:r w:rsidRPr="004B5243">
        <w:rPr>
          <w:rFonts w:cs="Times New Roman"/>
        </w:rPr>
        <w:t>Stavrinakis, Yow</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4B5243">
        <w:rPr>
          <w:rFonts w:cs="Times New Roman"/>
        </w:rPr>
        <w:t>Committee r</w:t>
      </w:r>
      <w:r>
        <w:rPr>
          <w:rFonts w:cs="Times New Roman"/>
        </w:rPr>
        <w:t xml:space="preserve">eport: Favorable </w:t>
      </w:r>
      <w:r w:rsidRPr="004B5243">
        <w:rPr>
          <w:rFonts w:cs="Times New Roman"/>
          <w:b/>
        </w:rPr>
        <w:t>Ways and Means</w:t>
      </w:r>
      <w:r>
        <w:rPr>
          <w:rFonts w:cs="Times New Roman"/>
        </w:rPr>
        <w:t xml:space="preserve"> </w:t>
      </w:r>
      <w:r w:rsidRPr="004B5243">
        <w:rPr>
          <w:rFonts w:cs="Times New Roman"/>
        </w:rPr>
        <w:t>(</w:t>
      </w:r>
      <w:hyperlink r:id="rId7" w:history="1">
        <w:r w:rsidRPr="00E521DD">
          <w:rPr>
            <w:rStyle w:val="Hyperlink"/>
            <w:rFonts w:cs="Times New Roman"/>
          </w:rPr>
          <w:t>House Journal</w:t>
        </w:r>
        <w:r w:rsidRPr="00E521DD">
          <w:rPr>
            <w:rStyle w:val="Hyperlink"/>
            <w:rFonts w:cs="Times New Roman"/>
          </w:rPr>
          <w:noBreakHyphen/>
          <w:t>page 117</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4B5243">
        <w:rPr>
          <w:rFonts w:cs="Times New Roman"/>
        </w:rPr>
        <w:t>Member(s)</w:t>
      </w:r>
      <w:r>
        <w:rPr>
          <w:rFonts w:cs="Times New Roman"/>
        </w:rPr>
        <w:t xml:space="preserve"> request name added as sponsor: </w:t>
      </w:r>
      <w:r w:rsidRPr="004B5243">
        <w:rPr>
          <w:rFonts w:cs="Times New Roman"/>
        </w:rPr>
        <w:t>Clemmons, Goldfinch, Murphy, J.E.Smith, Mitchell</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4B5243">
        <w:rPr>
          <w:rFonts w:cs="Times New Roman"/>
        </w:rPr>
        <w:t>Read second time (</w:t>
      </w:r>
      <w:hyperlink r:id="rId8" w:history="1">
        <w:r w:rsidRPr="00E521DD">
          <w:rPr>
            <w:rStyle w:val="Hyperlink"/>
            <w:rFonts w:cs="Times New Roman"/>
          </w:rPr>
          <w:t>House Journal</w:t>
        </w:r>
        <w:r w:rsidRPr="00E521DD">
          <w:rPr>
            <w:rStyle w:val="Hyperlink"/>
            <w:rFonts w:cs="Times New Roman"/>
          </w:rPr>
          <w:noBreakHyphen/>
          <w:t>page 102</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4B5243">
        <w:rPr>
          <w:rFonts w:cs="Times New Roman"/>
        </w:rPr>
        <w:t>Roll call Yeas</w:t>
      </w:r>
      <w:r>
        <w:rPr>
          <w:rFonts w:cs="Times New Roman"/>
        </w:rPr>
        <w:noBreakHyphen/>
      </w:r>
      <w:r w:rsidRPr="004B5243">
        <w:rPr>
          <w:rFonts w:cs="Times New Roman"/>
        </w:rPr>
        <w:t>101  Nays</w:t>
      </w:r>
      <w:r>
        <w:rPr>
          <w:rFonts w:cs="Times New Roman"/>
        </w:rPr>
        <w:noBreakHyphen/>
      </w:r>
      <w:r w:rsidRPr="004B5243">
        <w:rPr>
          <w:rFonts w:cs="Times New Roman"/>
        </w:rPr>
        <w:t>0 (</w:t>
      </w:r>
      <w:hyperlink r:id="rId9" w:history="1">
        <w:r w:rsidRPr="00E521DD">
          <w:rPr>
            <w:rStyle w:val="Hyperlink"/>
            <w:rFonts w:cs="Times New Roman"/>
          </w:rPr>
          <w:t>House Journal</w:t>
        </w:r>
        <w:r w:rsidRPr="00E521DD">
          <w:rPr>
            <w:rStyle w:val="Hyperlink"/>
            <w:rFonts w:cs="Times New Roman"/>
          </w:rPr>
          <w:noBreakHyphen/>
          <w:t>page 103</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4B5243">
        <w:rPr>
          <w:rFonts w:cs="Times New Roman"/>
        </w:rPr>
        <w:t>Rea</w:t>
      </w:r>
      <w:r>
        <w:rPr>
          <w:rFonts w:cs="Times New Roman"/>
        </w:rPr>
        <w:t xml:space="preserve">d third time and sent to Senate </w:t>
      </w:r>
      <w:r w:rsidRPr="004B5243">
        <w:rPr>
          <w:rFonts w:cs="Times New Roman"/>
        </w:rPr>
        <w:t>(</w:t>
      </w:r>
      <w:hyperlink r:id="rId10" w:history="1">
        <w:r w:rsidRPr="00E521DD">
          <w:rPr>
            <w:rStyle w:val="Hyperlink"/>
            <w:rFonts w:cs="Times New Roman"/>
          </w:rPr>
          <w:t>House Journal</w:t>
        </w:r>
        <w:r w:rsidRPr="00E521DD">
          <w:rPr>
            <w:rStyle w:val="Hyperlink"/>
            <w:rFonts w:cs="Times New Roman"/>
          </w:rPr>
          <w:noBreakHyphen/>
          <w:t>page 27</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4B5243">
        <w:rPr>
          <w:rFonts w:cs="Times New Roman"/>
        </w:rPr>
        <w:t>Roll call Yeas</w:t>
      </w:r>
      <w:r>
        <w:rPr>
          <w:rFonts w:cs="Times New Roman"/>
        </w:rPr>
        <w:noBreakHyphen/>
      </w:r>
      <w:r w:rsidRPr="004B5243">
        <w:rPr>
          <w:rFonts w:cs="Times New Roman"/>
        </w:rPr>
        <w:t>96  Nays</w:t>
      </w:r>
      <w:r>
        <w:rPr>
          <w:rFonts w:cs="Times New Roman"/>
        </w:rPr>
        <w:noBreakHyphen/>
      </w:r>
      <w:r w:rsidRPr="004B5243">
        <w:rPr>
          <w:rFonts w:cs="Times New Roman"/>
        </w:rPr>
        <w:t>0 (</w:t>
      </w:r>
      <w:hyperlink r:id="rId11" w:history="1">
        <w:r w:rsidRPr="00E521DD">
          <w:rPr>
            <w:rStyle w:val="Hyperlink"/>
            <w:rFonts w:cs="Times New Roman"/>
          </w:rPr>
          <w:t>House Journal</w:t>
        </w:r>
        <w:r w:rsidRPr="00E521DD">
          <w:rPr>
            <w:rStyle w:val="Hyperlink"/>
            <w:rFonts w:cs="Times New Roman"/>
          </w:rPr>
          <w:noBreakHyphen/>
          <w:t>page 28</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4B5243">
        <w:rPr>
          <w:rFonts w:cs="Times New Roman"/>
        </w:rPr>
        <w:t>Introduced and read first time (</w:t>
      </w:r>
      <w:hyperlink r:id="rId12" w:history="1">
        <w:r w:rsidRPr="00E521DD">
          <w:rPr>
            <w:rStyle w:val="Hyperlink"/>
            <w:rFonts w:cs="Times New Roman"/>
          </w:rPr>
          <w:t>Senate Journal</w:t>
        </w:r>
        <w:r w:rsidRPr="00E521DD">
          <w:rPr>
            <w:rStyle w:val="Hyperlink"/>
            <w:rFonts w:cs="Times New Roman"/>
          </w:rPr>
          <w:noBreakHyphen/>
          <w:t>page 7</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4B5243">
        <w:rPr>
          <w:rFonts w:cs="Times New Roman"/>
        </w:rPr>
        <w:t>R</w:t>
      </w:r>
      <w:r>
        <w:rPr>
          <w:rFonts w:cs="Times New Roman"/>
        </w:rPr>
        <w:t xml:space="preserve">eferred to Committee on </w:t>
      </w:r>
      <w:r w:rsidRPr="004B5243">
        <w:rPr>
          <w:rFonts w:cs="Times New Roman"/>
          <w:b/>
        </w:rPr>
        <w:t>Finance</w:t>
      </w:r>
      <w:r>
        <w:rPr>
          <w:rFonts w:cs="Times New Roman"/>
        </w:rPr>
        <w:t xml:space="preserve"> </w:t>
      </w:r>
      <w:r w:rsidRPr="004B5243">
        <w:rPr>
          <w:rFonts w:cs="Times New Roman"/>
        </w:rPr>
        <w:t>(</w:t>
      </w:r>
      <w:hyperlink r:id="rId13" w:history="1">
        <w:r w:rsidRPr="00E521DD">
          <w:rPr>
            <w:rStyle w:val="Hyperlink"/>
            <w:rFonts w:cs="Times New Roman"/>
          </w:rPr>
          <w:t>Senate Journal</w:t>
        </w:r>
        <w:r w:rsidRPr="00E521DD">
          <w:rPr>
            <w:rStyle w:val="Hyperlink"/>
            <w:rFonts w:cs="Times New Roman"/>
          </w:rPr>
          <w:noBreakHyphen/>
          <w:t>page 7</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4B5243">
        <w:rPr>
          <w:rFonts w:cs="Times New Roman"/>
        </w:rPr>
        <w:t>Committee r</w:t>
      </w:r>
      <w:r>
        <w:rPr>
          <w:rFonts w:cs="Times New Roman"/>
        </w:rPr>
        <w:t xml:space="preserve">eport: Favorable with amendment </w:t>
      </w:r>
      <w:r w:rsidRPr="004B5243">
        <w:rPr>
          <w:rFonts w:cs="Times New Roman"/>
          <w:b/>
        </w:rPr>
        <w:t>Finance</w:t>
      </w:r>
      <w:r w:rsidRPr="004B5243">
        <w:rPr>
          <w:rFonts w:cs="Times New Roman"/>
        </w:rPr>
        <w:t xml:space="preserve"> (</w:t>
      </w:r>
      <w:hyperlink r:id="rId14" w:history="1">
        <w:r w:rsidRPr="00E521DD">
          <w:rPr>
            <w:rStyle w:val="Hyperlink"/>
            <w:rFonts w:cs="Times New Roman"/>
          </w:rPr>
          <w:t>Senate Journal</w:t>
        </w:r>
        <w:r w:rsidRPr="00E521DD">
          <w:rPr>
            <w:rStyle w:val="Hyperlink"/>
            <w:rFonts w:cs="Times New Roman"/>
          </w:rPr>
          <w:noBreakHyphen/>
          <w:t>page 13</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4B5243">
        <w:rPr>
          <w:rFonts w:cs="Times New Roman"/>
        </w:rPr>
        <w:t>Committe</w:t>
      </w:r>
      <w:r>
        <w:rPr>
          <w:rFonts w:cs="Times New Roman"/>
        </w:rPr>
        <w:t xml:space="preserve">e Amendment Amended and Adopted </w:t>
      </w:r>
      <w:r w:rsidRPr="004B5243">
        <w:rPr>
          <w:rFonts w:cs="Times New Roman"/>
        </w:rPr>
        <w:t>(</w:t>
      </w:r>
      <w:hyperlink r:id="rId15" w:history="1">
        <w:r w:rsidRPr="00E521DD">
          <w:rPr>
            <w:rStyle w:val="Hyperlink"/>
            <w:rFonts w:cs="Times New Roman"/>
          </w:rPr>
          <w:t>Senate Journal</w:t>
        </w:r>
        <w:r w:rsidRPr="00E521DD">
          <w:rPr>
            <w:rStyle w:val="Hyperlink"/>
            <w:rFonts w:cs="Times New Roman"/>
          </w:rPr>
          <w:noBreakHyphen/>
          <w:t>page 61</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4B5243">
        <w:rPr>
          <w:rFonts w:cs="Times New Roman"/>
        </w:rPr>
        <w:t>Read second time (</w:t>
      </w:r>
      <w:hyperlink r:id="rId16" w:history="1">
        <w:r w:rsidRPr="00E521DD">
          <w:rPr>
            <w:rStyle w:val="Hyperlink"/>
            <w:rFonts w:cs="Times New Roman"/>
          </w:rPr>
          <w:t>Senate Journal</w:t>
        </w:r>
        <w:r w:rsidRPr="00E521DD">
          <w:rPr>
            <w:rStyle w:val="Hyperlink"/>
            <w:rFonts w:cs="Times New Roman"/>
          </w:rPr>
          <w:noBreakHyphen/>
          <w:t>page 39</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4B5243">
        <w:rPr>
          <w:rFonts w:cs="Times New Roman"/>
        </w:rPr>
        <w:t>Amended (</w:t>
      </w:r>
      <w:hyperlink r:id="rId17" w:history="1">
        <w:r w:rsidRPr="00E521DD">
          <w:rPr>
            <w:rStyle w:val="Hyperlink"/>
            <w:rFonts w:cs="Times New Roman"/>
          </w:rPr>
          <w:t>Senate Journal</w:t>
        </w:r>
        <w:r w:rsidRPr="00E521DD">
          <w:rPr>
            <w:rStyle w:val="Hyperlink"/>
            <w:rFonts w:cs="Times New Roman"/>
          </w:rPr>
          <w:noBreakHyphen/>
          <w:t>page 64</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4B5243">
        <w:rPr>
          <w:rFonts w:cs="Times New Roman"/>
        </w:rPr>
        <w:t>Roll call Ayes</w:t>
      </w:r>
      <w:r>
        <w:rPr>
          <w:rFonts w:cs="Times New Roman"/>
        </w:rPr>
        <w:noBreakHyphen/>
      </w:r>
      <w:r w:rsidRPr="004B5243">
        <w:rPr>
          <w:rFonts w:cs="Times New Roman"/>
        </w:rPr>
        <w:t>40  Nays</w:t>
      </w:r>
      <w:r>
        <w:rPr>
          <w:rFonts w:cs="Times New Roman"/>
        </w:rPr>
        <w:noBreakHyphen/>
      </w:r>
      <w:r w:rsidRPr="004B5243">
        <w:rPr>
          <w:rFonts w:cs="Times New Roman"/>
        </w:rPr>
        <w:t>0 (</w:t>
      </w:r>
      <w:hyperlink r:id="rId18" w:history="1">
        <w:r w:rsidRPr="00E521DD">
          <w:rPr>
            <w:rStyle w:val="Hyperlink"/>
            <w:rFonts w:cs="Times New Roman"/>
          </w:rPr>
          <w:t>Senate Journal</w:t>
        </w:r>
        <w:r w:rsidRPr="00E521DD">
          <w:rPr>
            <w:rStyle w:val="Hyperlink"/>
            <w:rFonts w:cs="Times New Roman"/>
          </w:rPr>
          <w:noBreakHyphen/>
          <w:t>page 64</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4B5243">
        <w:rPr>
          <w:rFonts w:cs="Times New Roman"/>
        </w:rPr>
        <w:t>Concurred i</w:t>
      </w:r>
      <w:r>
        <w:rPr>
          <w:rFonts w:cs="Times New Roman"/>
        </w:rPr>
        <w:t xml:space="preserve">n Senate amendment and enrolled </w:t>
      </w:r>
      <w:r w:rsidRPr="004B5243">
        <w:rPr>
          <w:rFonts w:cs="Times New Roman"/>
        </w:rPr>
        <w:t>(</w:t>
      </w:r>
      <w:hyperlink r:id="rId19" w:history="1">
        <w:r w:rsidRPr="00E521DD">
          <w:rPr>
            <w:rStyle w:val="Hyperlink"/>
            <w:rFonts w:cs="Times New Roman"/>
          </w:rPr>
          <w:t>House Journal</w:t>
        </w:r>
        <w:r w:rsidRPr="00E521DD">
          <w:rPr>
            <w:rStyle w:val="Hyperlink"/>
            <w:rFonts w:cs="Times New Roman"/>
          </w:rPr>
          <w:noBreakHyphen/>
          <w:t>page 75</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4B5243">
        <w:rPr>
          <w:rFonts w:cs="Times New Roman"/>
        </w:rPr>
        <w:t>Roll call Yeas</w:t>
      </w:r>
      <w:r>
        <w:rPr>
          <w:rFonts w:cs="Times New Roman"/>
        </w:rPr>
        <w:noBreakHyphen/>
      </w:r>
      <w:r w:rsidRPr="004B5243">
        <w:rPr>
          <w:rFonts w:cs="Times New Roman"/>
        </w:rPr>
        <w:t>96  Nays</w:t>
      </w:r>
      <w:r>
        <w:rPr>
          <w:rFonts w:cs="Times New Roman"/>
        </w:rPr>
        <w:noBreakHyphen/>
      </w:r>
      <w:r w:rsidRPr="004B5243">
        <w:rPr>
          <w:rFonts w:cs="Times New Roman"/>
        </w:rPr>
        <w:t>0 (</w:t>
      </w:r>
      <w:hyperlink r:id="rId20" w:history="1">
        <w:r w:rsidRPr="00E521DD">
          <w:rPr>
            <w:rStyle w:val="Hyperlink"/>
            <w:rFonts w:cs="Times New Roman"/>
          </w:rPr>
          <w:t>House Journal</w:t>
        </w:r>
        <w:r w:rsidRPr="00E521DD">
          <w:rPr>
            <w:rStyle w:val="Hyperlink"/>
            <w:rFonts w:cs="Times New Roman"/>
          </w:rPr>
          <w:noBreakHyphen/>
          <w:t>page 75</w:t>
        </w:r>
      </w:hyperlink>
      <w:r w:rsidRPr="004B5243">
        <w:rPr>
          <w:rFonts w:cs="Times New Roman"/>
        </w:rPr>
        <w:t>)</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4B5243">
        <w:rPr>
          <w:rFonts w:cs="Times New Roman"/>
        </w:rPr>
        <w:t>Ratified R 297</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6/7/2016</w:t>
      </w:r>
      <w:r>
        <w:rPr>
          <w:rFonts w:cs="Times New Roman"/>
        </w:rPr>
        <w:tab/>
      </w:r>
      <w:r>
        <w:rPr>
          <w:rFonts w:cs="Times New Roman"/>
        </w:rPr>
        <w:tab/>
      </w:r>
      <w:r w:rsidRPr="004B5243">
        <w:rPr>
          <w:rFonts w:cs="Times New Roman"/>
        </w:rPr>
        <w:t>Signed By Governor</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lastRenderedPageBreak/>
        <w:tab/>
        <w:t>6/16/2016</w:t>
      </w:r>
      <w:r>
        <w:rPr>
          <w:rFonts w:cs="Times New Roman"/>
        </w:rPr>
        <w:tab/>
      </w:r>
      <w:r>
        <w:rPr>
          <w:rFonts w:cs="Times New Roman"/>
        </w:rPr>
        <w:tab/>
      </w:r>
      <w:r w:rsidRPr="004B5243">
        <w:rPr>
          <w:rFonts w:cs="Times New Roman"/>
        </w:rPr>
        <w:t>Effective date See Act for Effective Date</w:t>
      </w:r>
    </w:p>
    <w:p w:rsidR="0080299A" w:rsidRDefault="0080299A" w:rsidP="0080299A">
      <w:pPr>
        <w:widowControl w:val="0"/>
        <w:tabs>
          <w:tab w:val="right" w:pos="1008"/>
          <w:tab w:val="left" w:pos="1152"/>
          <w:tab w:val="left" w:pos="1872"/>
          <w:tab w:val="left" w:pos="9187"/>
        </w:tabs>
        <w:ind w:left="2088" w:hanging="2088"/>
        <w:rPr>
          <w:rFonts w:cs="Times New Roman"/>
        </w:rPr>
      </w:pPr>
      <w:r>
        <w:rPr>
          <w:rFonts w:cs="Times New Roman"/>
        </w:rPr>
        <w:tab/>
        <w:t>6/17/2016</w:t>
      </w:r>
      <w:r>
        <w:rPr>
          <w:rFonts w:cs="Times New Roman"/>
        </w:rPr>
        <w:tab/>
      </w:r>
      <w:r>
        <w:rPr>
          <w:rFonts w:cs="Times New Roman"/>
        </w:rPr>
        <w:tab/>
      </w:r>
      <w:r w:rsidRPr="004B5243">
        <w:rPr>
          <w:rFonts w:cs="Times New Roman"/>
        </w:rPr>
        <w:t>Act No</w:t>
      </w:r>
      <w:r>
        <w:rPr>
          <w:rFonts w:cs="Times New Roman"/>
        </w:rPr>
        <w:t>. </w:t>
      </w:r>
      <w:r w:rsidRPr="004B5243">
        <w:rPr>
          <w:rFonts w:cs="Times New Roman"/>
        </w:rPr>
        <w:t>272</w:t>
      </w:r>
    </w:p>
    <w:p w:rsidR="0080299A" w:rsidRDefault="0080299A" w:rsidP="0080299A">
      <w:pPr>
        <w:widowControl w:val="0"/>
        <w:tabs>
          <w:tab w:val="right" w:pos="1008"/>
          <w:tab w:val="left" w:pos="1152"/>
          <w:tab w:val="left" w:pos="1872"/>
          <w:tab w:val="left" w:pos="9187"/>
        </w:tabs>
        <w:ind w:left="2088" w:hanging="2088"/>
        <w:rPr>
          <w:rFonts w:cs="Times New Roman"/>
        </w:rPr>
      </w:pPr>
    </w:p>
    <w:p w:rsidR="00C924BF" w:rsidRPr="00C924BF" w:rsidRDefault="00C924BF" w:rsidP="00C924BF">
      <w:pPr>
        <w:widowControl w:val="0"/>
        <w:tabs>
          <w:tab w:val="right" w:pos="1008"/>
          <w:tab w:val="left" w:pos="1152"/>
          <w:tab w:val="left" w:pos="1872"/>
          <w:tab w:val="left" w:pos="9187"/>
        </w:tabs>
        <w:ind w:left="2088" w:hanging="2088"/>
        <w:rPr>
          <w:rFonts w:eastAsia="Times New Roman" w:cs="Times New Roman"/>
          <w:szCs w:val="20"/>
        </w:rPr>
      </w:pPr>
      <w:r w:rsidRPr="00C924BF">
        <w:rPr>
          <w:rFonts w:eastAsia="Times New Roman" w:cs="Times New Roman"/>
          <w:szCs w:val="20"/>
        </w:rPr>
        <w:t xml:space="preserve">View the latest </w:t>
      </w:r>
      <w:hyperlink r:id="rId21" w:history="1">
        <w:r w:rsidRPr="00C924BF">
          <w:rPr>
            <w:rFonts w:eastAsia="Times New Roman" w:cs="Times New Roman"/>
            <w:color w:val="0000FF" w:themeColor="hyperlink"/>
            <w:szCs w:val="20"/>
            <w:u w:val="single"/>
          </w:rPr>
          <w:t>legislative information</w:t>
        </w:r>
      </w:hyperlink>
      <w:r w:rsidRPr="00C924BF">
        <w:rPr>
          <w:rFonts w:eastAsia="Times New Roman" w:cs="Times New Roman"/>
          <w:szCs w:val="20"/>
        </w:rPr>
        <w:t xml:space="preserve"> at the website</w:t>
      </w:r>
    </w:p>
    <w:p w:rsidR="00C924BF" w:rsidRPr="00C924BF" w:rsidRDefault="00C924BF" w:rsidP="00C924BF">
      <w:pPr>
        <w:widowControl w:val="0"/>
        <w:tabs>
          <w:tab w:val="right" w:pos="1008"/>
          <w:tab w:val="left" w:pos="1152"/>
          <w:tab w:val="left" w:pos="1872"/>
          <w:tab w:val="left" w:pos="9187"/>
        </w:tabs>
        <w:ind w:left="2088" w:hanging="2088"/>
        <w:rPr>
          <w:rFonts w:eastAsia="Times New Roman" w:cs="Times New Roman"/>
          <w:szCs w:val="20"/>
        </w:rPr>
      </w:pPr>
    </w:p>
    <w:p w:rsidR="00C924BF" w:rsidRPr="00C924BF" w:rsidRDefault="00C924BF" w:rsidP="00C924BF">
      <w:pPr>
        <w:widowControl w:val="0"/>
        <w:tabs>
          <w:tab w:val="right" w:pos="1008"/>
          <w:tab w:val="left" w:pos="1152"/>
          <w:tab w:val="left" w:pos="1872"/>
          <w:tab w:val="left" w:pos="9187"/>
        </w:tabs>
        <w:ind w:left="2088" w:hanging="2088"/>
        <w:rPr>
          <w:rFonts w:eastAsia="Times New Roman" w:cs="Times New Roman"/>
          <w:szCs w:val="20"/>
        </w:rPr>
      </w:pP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924BF">
        <w:rPr>
          <w:rFonts w:eastAsia="Times New Roman" w:cs="Times New Roman"/>
          <w:b/>
          <w:szCs w:val="20"/>
        </w:rPr>
        <w:t>VERSIONS OF THIS BILL</w:t>
      </w:r>
    </w:p>
    <w:p w:rsidR="00C924BF" w:rsidRPr="00C924BF" w:rsidRDefault="00C924BF"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24BF" w:rsidRPr="00C924BF" w:rsidRDefault="00E521DD" w:rsidP="00C924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C924BF" w:rsidRPr="00C924BF">
          <w:rPr>
            <w:rFonts w:eastAsia="Times New Roman" w:cs="Times New Roman"/>
            <w:color w:val="0000FF" w:themeColor="hyperlink"/>
            <w:szCs w:val="20"/>
            <w:u w:val="single"/>
          </w:rPr>
          <w:t>12/11/2014</w:t>
        </w:r>
      </w:hyperlink>
    </w:p>
    <w:p w:rsidR="00C924BF" w:rsidRPr="00C924BF" w:rsidRDefault="00E521DD" w:rsidP="00C92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924BF" w:rsidRPr="00C924BF">
          <w:rPr>
            <w:rFonts w:eastAsia="Times New Roman" w:cs="Times New Roman"/>
            <w:color w:val="0000FF" w:themeColor="hyperlink"/>
            <w:szCs w:val="20"/>
            <w:u w:val="single"/>
          </w:rPr>
          <w:t>4/23/2015</w:t>
        </w:r>
      </w:hyperlink>
    </w:p>
    <w:p w:rsidR="00C924BF" w:rsidRPr="00C924BF" w:rsidRDefault="00E521DD" w:rsidP="00C92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924BF" w:rsidRPr="00C924BF">
          <w:rPr>
            <w:rFonts w:eastAsia="Times New Roman" w:cs="Times New Roman"/>
            <w:color w:val="0000FF" w:themeColor="hyperlink"/>
            <w:szCs w:val="20"/>
            <w:u w:val="single"/>
          </w:rPr>
          <w:t>3/23/2016</w:t>
        </w:r>
      </w:hyperlink>
    </w:p>
    <w:p w:rsidR="00C924BF" w:rsidRPr="00C924BF" w:rsidRDefault="00E521DD" w:rsidP="00C92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924BF" w:rsidRPr="00C924BF">
          <w:rPr>
            <w:rFonts w:eastAsia="Times New Roman" w:cs="Times New Roman"/>
            <w:color w:val="0000FF" w:themeColor="hyperlink"/>
            <w:szCs w:val="20"/>
            <w:u w:val="single"/>
          </w:rPr>
          <w:t>4/21/2016</w:t>
        </w:r>
      </w:hyperlink>
    </w:p>
    <w:p w:rsidR="00C924BF" w:rsidRPr="00C924BF" w:rsidRDefault="00E521DD" w:rsidP="00C92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924BF" w:rsidRPr="00C924BF">
          <w:rPr>
            <w:rFonts w:eastAsia="Times New Roman" w:cs="Times New Roman"/>
            <w:color w:val="0000FF" w:themeColor="hyperlink"/>
            <w:szCs w:val="20"/>
            <w:u w:val="single"/>
          </w:rPr>
          <w:t>6/2/2016</w:t>
        </w:r>
      </w:hyperlink>
    </w:p>
    <w:p w:rsidR="00C924BF" w:rsidRPr="00C924BF" w:rsidRDefault="00C924BF" w:rsidP="00C92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924BF" w:rsidRDefault="00C924BF" w:rsidP="00C92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924BF" w:rsidSect="00C924BF">
          <w:pgSz w:w="12240" w:h="15840" w:code="1"/>
          <w:pgMar w:top="1080" w:right="1440" w:bottom="1080" w:left="1440" w:header="720" w:footer="720" w:gutter="0"/>
          <w:pgNumType w:start="1"/>
          <w:cols w:space="720"/>
          <w:noEndnote/>
          <w:docGrid w:linePitch="360"/>
        </w:sectPr>
      </w:pPr>
    </w:p>
    <w:p w:rsidR="00632EF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(A272, R297, H3147)</w:t>
      </w:r>
    </w:p>
    <w:p w:rsidR="00632EF3" w:rsidRPr="008836A5"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2EF3" w:rsidRPr="00C924BF"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924BF">
        <w:rPr>
          <w:rFonts w:cs="Times New Roman"/>
          <w:b/>
          <w:color w:val="000000" w:themeColor="text1"/>
          <w:szCs w:val="36"/>
        </w:rPr>
        <w:t xml:space="preserve">AN ACT </w:t>
      </w:r>
      <w:r w:rsidRPr="00C924BF">
        <w:rPr>
          <w:rFonts w:cs="Times New Roman"/>
          <w:b/>
        </w:rPr>
        <w:t>TO AMEND SECTION 12</w:t>
      </w:r>
      <w:r w:rsidRPr="00C924BF">
        <w:rPr>
          <w:rFonts w:cs="Times New Roman"/>
          <w:b/>
        </w:rPr>
        <w:noBreakHyphen/>
        <w:t>6</w:t>
      </w:r>
      <w:r w:rsidRPr="00C924BF">
        <w:rPr>
          <w:rFonts w:cs="Times New Roman"/>
          <w:b/>
        </w:rPr>
        <w:noBreakHyphen/>
        <w:t>1170, CODE OF LAWS OF SOUTH CAROLINA, 1976, RELATING TO THE RETIREMENT INCOME TAX DEDUCTION, SO AS TO REDUCE THE DEDUCTION BY THE DEDUCTION CLAIMED PURSUANT TO SECTION 12</w:t>
      </w:r>
      <w:r w:rsidRPr="00C924BF">
        <w:rPr>
          <w:rFonts w:cs="Times New Roman"/>
          <w:b/>
        </w:rPr>
        <w:noBreakHyphen/>
        <w:t>6</w:t>
      </w:r>
      <w:r w:rsidRPr="00C924BF">
        <w:rPr>
          <w:rFonts w:cs="Times New Roman"/>
          <w:b/>
        </w:rPr>
        <w:noBreakHyphen/>
        <w:t>1171; BY ADDING SECTION 12</w:t>
      </w:r>
      <w:r w:rsidRPr="00C924BF">
        <w:rPr>
          <w:rFonts w:cs="Times New Roman"/>
          <w:b/>
        </w:rPr>
        <w:noBreakHyphen/>
        <w:t>6</w:t>
      </w:r>
      <w:r w:rsidRPr="00C924BF">
        <w:rPr>
          <w:rFonts w:cs="Times New Roman"/>
          <w:b/>
        </w:rPr>
        <w:noBreakHyphen/>
        <w:t xml:space="preserve">1171 SO AS TO PROVIDE AN INCOME TAX DEDUCTION FOR CERTAIN ELIGIBLE TAXPAYERS WITH MILITARY RETIREMENT INCOME </w:t>
      </w:r>
      <w:r w:rsidRPr="00C924BF">
        <w:rPr>
          <w:rFonts w:cs="Times New Roman"/>
          <w:b/>
          <w:color w:val="000000" w:themeColor="text1"/>
          <w:u w:color="000000" w:themeColor="text1"/>
        </w:rPr>
        <w:t xml:space="preserve">THAT IS INCLUDED IN SOUTH CAROLINA TAXABLE INCOME, TO </w:t>
      </w:r>
      <w:r w:rsidRPr="00C924BF">
        <w:rPr>
          <w:rFonts w:cs="Times New Roman"/>
          <w:b/>
          <w:color w:val="000000" w:themeColor="text1"/>
        </w:rPr>
        <w:t>SPECIFY THE AMOUNT OF THE DEDUCTION, AND TO PHASE</w:t>
      </w:r>
      <w:r>
        <w:rPr>
          <w:rFonts w:cs="Times New Roman"/>
          <w:b/>
          <w:color w:val="000000" w:themeColor="text1"/>
        </w:rPr>
        <w:t xml:space="preserve"> </w:t>
      </w:r>
      <w:r w:rsidRPr="00C924BF">
        <w:rPr>
          <w:rFonts w:cs="Times New Roman"/>
          <w:b/>
          <w:color w:val="000000" w:themeColor="text1"/>
        </w:rPr>
        <w:t>IN THE DEDUCTION OVER FIVE YEARS; AND TO AMEND SECTION 12</w:t>
      </w:r>
      <w:r w:rsidRPr="00C924BF">
        <w:rPr>
          <w:rFonts w:cs="Times New Roman"/>
          <w:b/>
          <w:color w:val="000000" w:themeColor="text1"/>
        </w:rPr>
        <w:noBreakHyphen/>
        <w:t>65</w:t>
      </w:r>
      <w:r w:rsidRPr="00C924BF">
        <w:rPr>
          <w:rFonts w:cs="Times New Roman"/>
          <w:b/>
          <w:color w:val="000000" w:themeColor="text1"/>
        </w:rPr>
        <w:noBreakHyphen/>
        <w:t xml:space="preserve">30, RELATING TO THE TEXTILE REVITALIZATION TAX CREDIT, SO AS TO SPECIFY </w:t>
      </w:r>
      <w:r w:rsidRPr="00C924BF">
        <w:rPr>
          <w:rFonts w:cs="Times New Roman"/>
          <w:b/>
        </w:rPr>
        <w:t>UNUSED CREDIT MAY BE CARRIED FORWARD AT THE INDIVIDUAL, PARTNERSHIP, OR LIMITED LIABILITY COMPANY LEVEL, AND MAY BE PASSED THROUGH AS PROVIDED BY LAW.</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2E3">
        <w:rPr>
          <w:rFonts w:cs="Times New Roman"/>
        </w:rPr>
        <w:t>Be it enacted by the General Assembly of the State of South Carolina:</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EF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E3D93">
        <w:rPr>
          <w:rFonts w:cs="Times New Roman"/>
          <w:b/>
          <w:color w:val="000000" w:themeColor="text1"/>
          <w:u w:color="000000" w:themeColor="text1"/>
        </w:rPr>
        <w:t>Military retirement income deduction</w:t>
      </w:r>
    </w:p>
    <w:p w:rsidR="00632EF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2E3">
        <w:rPr>
          <w:rFonts w:cs="Times New Roman"/>
          <w:snapToGrid w:val="0"/>
        </w:rPr>
        <w:t>SECTION</w:t>
      </w:r>
      <w:r w:rsidRPr="006342E3">
        <w:rPr>
          <w:rFonts w:cs="Times New Roman"/>
          <w:snapToGrid w:val="0"/>
        </w:rPr>
        <w:tab/>
        <w:t>1.</w:t>
      </w:r>
      <w:r w:rsidRPr="006342E3">
        <w:rPr>
          <w:rFonts w:cs="Times New Roman"/>
          <w:snapToGrid w:val="0"/>
        </w:rPr>
        <w:tab/>
        <w:t>A.</w:t>
      </w:r>
      <w:r w:rsidRPr="006342E3">
        <w:rPr>
          <w:rFonts w:cs="Times New Roman"/>
          <w:snapToGrid w:val="0"/>
        </w:rPr>
        <w:tab/>
      </w:r>
      <w:r>
        <w:rPr>
          <w:rFonts w:cs="Times New Roman"/>
          <w:snapToGrid w:val="0"/>
        </w:rPr>
        <w:tab/>
      </w:r>
      <w:r w:rsidRPr="006342E3">
        <w:rPr>
          <w:rFonts w:cs="Times New Roman"/>
        </w:rPr>
        <w:t>Section 12</w:t>
      </w:r>
      <w:r>
        <w:rPr>
          <w:rFonts w:cs="Times New Roman"/>
        </w:rPr>
        <w:noBreakHyphen/>
      </w:r>
      <w:r w:rsidRPr="006342E3">
        <w:rPr>
          <w:rFonts w:cs="Times New Roman"/>
        </w:rPr>
        <w:t>6</w:t>
      </w:r>
      <w:r>
        <w:rPr>
          <w:rFonts w:cs="Times New Roman"/>
        </w:rPr>
        <w:noBreakHyphen/>
      </w:r>
      <w:r w:rsidRPr="006342E3">
        <w:rPr>
          <w:rFonts w:cs="Times New Roman"/>
        </w:rPr>
        <w:t>1170 of the 1976 Code is amended by adding an appropriately lettered subsection at the end to read:</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342E3">
        <w:rPr>
          <w:rFonts w:cs="Times New Roman"/>
          <w:snapToGrid w:val="0"/>
          <w:color w:val="000000" w:themeColor="text1"/>
        </w:rPr>
        <w:tab/>
        <w:t>“( )(1)</w:t>
      </w:r>
      <w:r w:rsidRPr="006342E3">
        <w:rPr>
          <w:rFonts w:cs="Times New Roman"/>
          <w:snapToGrid w:val="0"/>
          <w:color w:val="000000" w:themeColor="text1"/>
        </w:rPr>
        <w:tab/>
      </w:r>
      <w:r w:rsidRPr="006342E3">
        <w:rPr>
          <w:rFonts w:cs="Times New Roman"/>
          <w:color w:val="000000" w:themeColor="text1"/>
        </w:rPr>
        <w:t>Notwithstanding any other provision of this section, if a taxpayer claims a deduction pursuant to Section 12</w:t>
      </w:r>
      <w:r>
        <w:rPr>
          <w:rFonts w:cs="Times New Roman"/>
          <w:color w:val="000000" w:themeColor="text1"/>
        </w:rPr>
        <w:noBreakHyphen/>
      </w:r>
      <w:r w:rsidRPr="006342E3">
        <w:rPr>
          <w:rFonts w:cs="Times New Roman"/>
          <w:color w:val="000000" w:themeColor="text1"/>
        </w:rPr>
        <w:t>6</w:t>
      </w:r>
      <w:r>
        <w:rPr>
          <w:rFonts w:cs="Times New Roman"/>
          <w:color w:val="000000" w:themeColor="text1"/>
        </w:rPr>
        <w:noBreakHyphen/>
      </w:r>
      <w:r w:rsidRPr="006342E3">
        <w:rPr>
          <w:rFonts w:cs="Times New Roman"/>
          <w:color w:val="000000" w:themeColor="text1"/>
        </w:rPr>
        <w:t>1171, then the deduction allowed by this section must be reduced by the amount the taxpayer deducts pursuant to Section 12</w:t>
      </w:r>
      <w:r>
        <w:rPr>
          <w:rFonts w:cs="Times New Roman"/>
          <w:color w:val="000000" w:themeColor="text1"/>
        </w:rPr>
        <w:noBreakHyphen/>
      </w:r>
      <w:r w:rsidRPr="006342E3">
        <w:rPr>
          <w:rFonts w:cs="Times New Roman"/>
          <w:color w:val="000000" w:themeColor="text1"/>
        </w:rPr>
        <w:t>6</w:t>
      </w:r>
      <w:r>
        <w:rPr>
          <w:rFonts w:cs="Times New Roman"/>
          <w:color w:val="000000" w:themeColor="text1"/>
        </w:rPr>
        <w:noBreakHyphen/>
      </w:r>
      <w:r w:rsidRPr="006342E3">
        <w:rPr>
          <w:rFonts w:cs="Times New Roman"/>
          <w:color w:val="000000" w:themeColor="text1"/>
        </w:rPr>
        <w:t>1171; however, this subsection does not apply if the deduction claimed pursuant to Section 12</w:t>
      </w:r>
      <w:r>
        <w:rPr>
          <w:rFonts w:cs="Times New Roman"/>
          <w:color w:val="000000" w:themeColor="text1"/>
        </w:rPr>
        <w:noBreakHyphen/>
      </w:r>
      <w:r w:rsidRPr="006342E3">
        <w:rPr>
          <w:rFonts w:cs="Times New Roman"/>
          <w:color w:val="000000" w:themeColor="text1"/>
        </w:rPr>
        <w:t>6</w:t>
      </w:r>
      <w:r>
        <w:rPr>
          <w:rFonts w:cs="Times New Roman"/>
          <w:color w:val="000000" w:themeColor="text1"/>
        </w:rPr>
        <w:noBreakHyphen/>
      </w:r>
      <w:r w:rsidRPr="006342E3">
        <w:rPr>
          <w:rFonts w:cs="Times New Roman"/>
          <w:color w:val="000000" w:themeColor="text1"/>
        </w:rPr>
        <w:t>1171 is claimed by a surviving spouse.</w:t>
      </w:r>
    </w:p>
    <w:p w:rsidR="00632EF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342E3">
        <w:rPr>
          <w:rFonts w:cs="Times New Roman"/>
          <w:color w:val="000000" w:themeColor="text1"/>
        </w:rPr>
        <w:tab/>
      </w:r>
      <w:r w:rsidRPr="006342E3">
        <w:rPr>
          <w:rFonts w:cs="Times New Roman"/>
          <w:color w:val="000000" w:themeColor="text1"/>
        </w:rPr>
        <w:tab/>
        <w:t>(2)</w:t>
      </w:r>
      <w:r w:rsidRPr="006342E3">
        <w:rPr>
          <w:rFonts w:cs="Times New Roman"/>
          <w:color w:val="000000" w:themeColor="text1"/>
        </w:rPr>
        <w:tab/>
        <w:t>In the case of married taxpayers who file a joint federal income tax return, the reduction required by item (1) applies to each individual separately, so that the reduction only applies to the amount the individual claiming the deduction pursuant to Section 12</w:t>
      </w:r>
      <w:r>
        <w:rPr>
          <w:rFonts w:cs="Times New Roman"/>
          <w:color w:val="000000" w:themeColor="text1"/>
        </w:rPr>
        <w:noBreakHyphen/>
      </w:r>
      <w:r w:rsidRPr="006342E3">
        <w:rPr>
          <w:rFonts w:cs="Times New Roman"/>
          <w:color w:val="000000" w:themeColor="text1"/>
        </w:rPr>
        <w:t>6</w:t>
      </w:r>
      <w:r>
        <w:rPr>
          <w:rFonts w:cs="Times New Roman"/>
          <w:color w:val="000000" w:themeColor="text1"/>
        </w:rPr>
        <w:noBreakHyphen/>
      </w:r>
      <w:r w:rsidRPr="006342E3">
        <w:rPr>
          <w:rFonts w:cs="Times New Roman"/>
          <w:color w:val="000000" w:themeColor="text1"/>
        </w:rPr>
        <w:t>1171 otherwise could have claimed pursuant to this section if the individual had not filed a joint return.”</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42E3">
        <w:rPr>
          <w:rFonts w:cs="Times New Roman"/>
          <w:color w:val="000000" w:themeColor="text1"/>
          <w:u w:color="000000" w:themeColor="text1"/>
        </w:rPr>
        <w:t>B.</w:t>
      </w:r>
      <w:r w:rsidRPr="006342E3">
        <w:rPr>
          <w:rFonts w:cs="Times New Roman"/>
          <w:color w:val="000000" w:themeColor="text1"/>
          <w:u w:color="000000" w:themeColor="text1"/>
        </w:rPr>
        <w:tab/>
      </w:r>
      <w:r w:rsidRPr="006342E3">
        <w:rPr>
          <w:rFonts w:cs="Times New Roman"/>
          <w:color w:val="000000" w:themeColor="text1"/>
          <w:u w:color="000000" w:themeColor="text1"/>
        </w:rPr>
        <w:tab/>
        <w:t>Article 9, Chapter 6, Title 12 of the 1976 Code is amended by adding:</w:t>
      </w:r>
    </w:p>
    <w:p w:rsidR="00632EF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42E3">
        <w:rPr>
          <w:rFonts w:cs="Times New Roman"/>
          <w:color w:val="000000" w:themeColor="text1"/>
          <w:u w:color="000000" w:themeColor="text1"/>
        </w:rPr>
        <w:tab/>
        <w:t>“Section 12</w:t>
      </w:r>
      <w:r>
        <w:rPr>
          <w:rFonts w:cs="Times New Roman"/>
          <w:color w:val="000000" w:themeColor="text1"/>
          <w:u w:color="000000" w:themeColor="text1"/>
        </w:rPr>
        <w:noBreakHyphen/>
      </w:r>
      <w:r w:rsidRPr="006342E3">
        <w:rPr>
          <w:rFonts w:cs="Times New Roman"/>
          <w:color w:val="000000" w:themeColor="text1"/>
          <w:u w:color="000000" w:themeColor="text1"/>
        </w:rPr>
        <w:t>6</w:t>
      </w:r>
      <w:r>
        <w:rPr>
          <w:rFonts w:cs="Times New Roman"/>
          <w:color w:val="000000" w:themeColor="text1"/>
          <w:u w:color="000000" w:themeColor="text1"/>
        </w:rPr>
        <w:noBreakHyphen/>
      </w:r>
      <w:r w:rsidRPr="006342E3">
        <w:rPr>
          <w:rFonts w:cs="Times New Roman"/>
          <w:color w:val="000000" w:themeColor="text1"/>
          <w:u w:color="000000" w:themeColor="text1"/>
        </w:rPr>
        <w:t>1171.</w:t>
      </w:r>
      <w:r w:rsidRPr="006342E3">
        <w:rPr>
          <w:rFonts w:cs="Times New Roman"/>
          <w:color w:val="000000" w:themeColor="text1"/>
          <w:u w:color="000000" w:themeColor="text1"/>
        </w:rPr>
        <w:tab/>
        <w:t>(A)(1)</w:t>
      </w:r>
      <w:r w:rsidRPr="006342E3">
        <w:rPr>
          <w:rFonts w:cs="Times New Roman"/>
          <w:color w:val="000000" w:themeColor="text1"/>
          <w:u w:color="000000" w:themeColor="text1"/>
        </w:rPr>
        <w:tab/>
        <w:t>An individual taxpayer who has military retirement income,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w:t>
      </w:r>
      <w:r w:rsidRPr="00192708">
        <w:rPr>
          <w:rFonts w:cs="Times New Roman"/>
          <w:color w:val="000000" w:themeColor="text1"/>
          <w:u w:color="000000" w:themeColor="text1"/>
        </w:rPr>
        <w:t>’</w:t>
      </w:r>
      <w:r w:rsidRPr="006342E3">
        <w:rPr>
          <w:rFonts w:cs="Times New Roman"/>
          <w:color w:val="000000" w:themeColor="text1"/>
          <w:u w:color="000000" w:themeColor="text1"/>
        </w:rPr>
        <w:t>s deduction is based on the same individual</w:t>
      </w:r>
      <w:r w:rsidRPr="00192708">
        <w:rPr>
          <w:rFonts w:cs="Times New Roman"/>
          <w:color w:val="000000" w:themeColor="text1"/>
          <w:u w:color="000000" w:themeColor="text1"/>
        </w:rPr>
        <w:t>’</w:t>
      </w:r>
      <w:r w:rsidRPr="006342E3">
        <w:rPr>
          <w:rFonts w:cs="Times New Roman"/>
          <w:color w:val="000000" w:themeColor="text1"/>
          <w:u w:color="000000" w:themeColor="text1"/>
        </w:rPr>
        <w:t xml:space="preserve">s retirement income and earned income.  For purposes of this item, </w:t>
      </w:r>
      <w:r w:rsidRPr="00192708">
        <w:rPr>
          <w:rFonts w:cs="Times New Roman"/>
          <w:color w:val="000000" w:themeColor="text1"/>
          <w:u w:color="000000" w:themeColor="text1"/>
        </w:rPr>
        <w:t>‘</w:t>
      </w:r>
      <w:r w:rsidRPr="006342E3">
        <w:rPr>
          <w:rFonts w:cs="Times New Roman"/>
          <w:color w:val="000000" w:themeColor="text1"/>
          <w:u w:color="000000" w:themeColor="text1"/>
        </w:rPr>
        <w:t>South Carolina earned income</w:t>
      </w:r>
      <w:r w:rsidRPr="00192708">
        <w:rPr>
          <w:rFonts w:cs="Times New Roman"/>
          <w:color w:val="000000" w:themeColor="text1"/>
          <w:u w:color="000000" w:themeColor="text1"/>
        </w:rPr>
        <w:t>’</w:t>
      </w:r>
      <w:r w:rsidRPr="006342E3">
        <w:rPr>
          <w:rFonts w:cs="Times New Roman"/>
          <w:color w:val="000000" w:themeColor="text1"/>
          <w:u w:color="000000" w:themeColor="text1"/>
        </w:rPr>
        <w:t xml:space="preserve"> has the same meaning as provided in Section 12</w:t>
      </w:r>
      <w:r>
        <w:rPr>
          <w:rFonts w:cs="Times New Roman"/>
          <w:color w:val="000000" w:themeColor="text1"/>
          <w:u w:color="000000" w:themeColor="text1"/>
        </w:rPr>
        <w:noBreakHyphen/>
      </w:r>
      <w:r w:rsidRPr="006342E3">
        <w:rPr>
          <w:rFonts w:cs="Times New Roman"/>
          <w:color w:val="000000" w:themeColor="text1"/>
          <w:u w:color="000000" w:themeColor="text1"/>
        </w:rPr>
        <w:t>6</w:t>
      </w:r>
      <w:r>
        <w:rPr>
          <w:rFonts w:cs="Times New Roman"/>
          <w:color w:val="000000" w:themeColor="text1"/>
          <w:u w:color="000000" w:themeColor="text1"/>
        </w:rPr>
        <w:noBreakHyphen/>
      </w:r>
      <w:r w:rsidRPr="006342E3">
        <w:rPr>
          <w:rFonts w:cs="Times New Roman"/>
          <w:color w:val="000000" w:themeColor="text1"/>
          <w:u w:color="000000" w:themeColor="text1"/>
        </w:rPr>
        <w:t>3330.</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42E3">
        <w:rPr>
          <w:rFonts w:cs="Times New Roman"/>
          <w:color w:val="000000" w:themeColor="text1"/>
          <w:u w:color="000000" w:themeColor="text1"/>
        </w:rPr>
        <w:tab/>
      </w:r>
      <w:r w:rsidRPr="006342E3">
        <w:rPr>
          <w:rFonts w:cs="Times New Roman"/>
          <w:color w:val="000000" w:themeColor="text1"/>
          <w:u w:color="000000" w:themeColor="text1"/>
        </w:rPr>
        <w:tab/>
        <w:t>(2)</w:t>
      </w:r>
      <w:r w:rsidRPr="006342E3">
        <w:rPr>
          <w:rFonts w:cs="Times New Roman"/>
          <w:color w:val="000000" w:themeColor="text1"/>
          <w:u w:color="000000" w:themeColor="text1"/>
        </w:rPr>
        <w:tab/>
        <w:t>Notwithstanding item (1), beginning in the year in which an individual taxpayer reaches age sixty</w:t>
      </w:r>
      <w:r>
        <w:rPr>
          <w:rFonts w:cs="Times New Roman"/>
          <w:color w:val="000000" w:themeColor="text1"/>
          <w:u w:color="000000" w:themeColor="text1"/>
        </w:rPr>
        <w:noBreakHyphen/>
      </w:r>
      <w:r w:rsidRPr="006342E3">
        <w:rPr>
          <w:rFonts w:cs="Times New Roman"/>
          <w:color w:val="000000" w:themeColor="text1"/>
          <w:u w:color="000000" w:themeColor="text1"/>
        </w:rPr>
        <w:t>five, an individual taxpayer who has military retirement income may deduct up to thirty thousand dollars of military retirement income that is included in South Carolina taxable income.</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342E3">
        <w:rPr>
          <w:rFonts w:cs="Times New Roman"/>
          <w:color w:val="000000" w:themeColor="text1"/>
          <w:u w:color="000000" w:themeColor="text1"/>
        </w:rPr>
        <w:tab/>
        <w:t>(B)</w:t>
      </w:r>
      <w:r w:rsidRPr="006342E3">
        <w:rPr>
          <w:rFonts w:cs="Times New Roman"/>
          <w:color w:val="000000" w:themeColor="text1"/>
          <w:u w:color="000000" w:themeColor="text1"/>
        </w:rPr>
        <w:tab/>
        <w:t xml:space="preserve">The term </w:t>
      </w:r>
      <w:r w:rsidRPr="00192708">
        <w:rPr>
          <w:rFonts w:cs="Times New Roman"/>
          <w:color w:val="000000" w:themeColor="text1"/>
          <w:u w:color="000000" w:themeColor="text1"/>
        </w:rPr>
        <w:t>‘</w:t>
      </w:r>
      <w:r w:rsidRPr="006342E3">
        <w:rPr>
          <w:rFonts w:cs="Times New Roman"/>
          <w:color w:val="000000" w:themeColor="text1"/>
          <w:u w:color="000000" w:themeColor="text1"/>
        </w:rPr>
        <w:t>retirement income</w:t>
      </w:r>
      <w:r w:rsidRPr="00192708">
        <w:rPr>
          <w:rFonts w:cs="Times New Roman"/>
          <w:color w:val="000000" w:themeColor="text1"/>
          <w:u w:color="000000" w:themeColor="text1"/>
        </w:rPr>
        <w:t>’</w:t>
      </w:r>
      <w:r w:rsidRPr="006342E3">
        <w:rPr>
          <w:rFonts w:cs="Times New Roman"/>
          <w:color w:val="000000" w:themeColor="text1"/>
          <w:u w:color="000000" w:themeColor="text1"/>
        </w:rPr>
        <w:t xml:space="preserve">, as used in this section, means the total of all otherwise taxable income not subject to a penalty for premature distribution received by the </w:t>
      </w:r>
      <w:r w:rsidRPr="006342E3">
        <w:rPr>
          <w:rFonts w:cs="Times New Roman"/>
          <w:color w:val="000000" w:themeColor="text1"/>
        </w:rPr>
        <w:t>taxpayer or the taxpayer</w:t>
      </w:r>
      <w:r w:rsidRPr="00192708">
        <w:rPr>
          <w:rFonts w:cs="Times New Roman"/>
          <w:color w:val="000000" w:themeColor="text1"/>
        </w:rPr>
        <w:t>’</w:t>
      </w:r>
      <w:r w:rsidRPr="006342E3">
        <w:rPr>
          <w:rFonts w:cs="Times New Roman"/>
          <w:color w:val="000000" w:themeColor="text1"/>
        </w:rPr>
        <w:t xml:space="preserve">s surviving spouse in a taxable year from a qualified military retirement plan.  For purposes of a surviving spouse, </w:t>
      </w:r>
      <w:r w:rsidRPr="00192708">
        <w:rPr>
          <w:rFonts w:cs="Times New Roman"/>
          <w:color w:val="000000" w:themeColor="text1"/>
        </w:rPr>
        <w:t>‘</w:t>
      </w:r>
      <w:r w:rsidRPr="006342E3">
        <w:rPr>
          <w:rFonts w:cs="Times New Roman"/>
          <w:color w:val="000000" w:themeColor="text1"/>
        </w:rPr>
        <w:t>retirement income</w:t>
      </w:r>
      <w:r w:rsidRPr="00192708">
        <w:rPr>
          <w:rFonts w:cs="Times New Roman"/>
          <w:color w:val="000000" w:themeColor="text1"/>
        </w:rPr>
        <w:t>’</w:t>
      </w:r>
      <w:r w:rsidRPr="006342E3">
        <w:rPr>
          <w:rFonts w:cs="Times New Roman"/>
          <w:color w:val="000000" w:themeColor="text1"/>
        </w:rPr>
        <w:t xml:space="preserve"> also includes a retirement benefit plan and dependent indemnity compensation related to the deceased spouse</w:t>
      </w:r>
      <w:r w:rsidRPr="00192708">
        <w:rPr>
          <w:rFonts w:cs="Times New Roman"/>
          <w:color w:val="000000" w:themeColor="text1"/>
        </w:rPr>
        <w:t>’</w:t>
      </w:r>
      <w:r w:rsidRPr="006342E3">
        <w:rPr>
          <w:rFonts w:cs="Times New Roman"/>
          <w:color w:val="000000" w:themeColor="text1"/>
        </w:rPr>
        <w:t>s military service.</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42E3">
        <w:rPr>
          <w:rFonts w:cs="Times New Roman"/>
          <w:color w:val="000000" w:themeColor="text1"/>
        </w:rPr>
        <w:tab/>
        <w:t>(C)</w:t>
      </w:r>
      <w:r w:rsidRPr="006342E3">
        <w:rPr>
          <w:rFonts w:cs="Times New Roman"/>
          <w:color w:val="000000" w:themeColor="text1"/>
        </w:rPr>
        <w:tab/>
        <w:t>A surviving spouse receiving military retirement income that is attributable to the deceased spouse shall apply this deduction in the same manner that the deduction applied</w:t>
      </w:r>
      <w:r w:rsidRPr="006342E3">
        <w:rPr>
          <w:rFonts w:cs="Times New Roman"/>
          <w:color w:val="000000" w:themeColor="text1"/>
          <w:u w:color="000000" w:themeColor="text1"/>
        </w:rPr>
        <w:t xml:space="preserve"> to the deceased spouse. If the surviving spouse also has another retirement income, an additional retirement exclusion is allowed.</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342E3">
        <w:rPr>
          <w:rFonts w:cs="Times New Roman"/>
          <w:color w:val="000000" w:themeColor="text1"/>
          <w:u w:color="000000" w:themeColor="text1"/>
        </w:rPr>
        <w:tab/>
        <w:t>(D)</w:t>
      </w:r>
      <w:r w:rsidRPr="006342E3">
        <w:rPr>
          <w:rFonts w:cs="Times New Roman"/>
          <w:color w:val="000000" w:themeColor="text1"/>
          <w:u w:color="000000" w:themeColor="text1"/>
        </w:rPr>
        <w:tab/>
        <w:t>The department may require the taxpayer to provide information necessary for proper administration of this subsection.”</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C.</w:t>
      </w:r>
      <w:r>
        <w:rPr>
          <w:rFonts w:cs="Times New Roman"/>
          <w:snapToGrid w:val="0"/>
        </w:rPr>
        <w:tab/>
      </w:r>
      <w:r>
        <w:rPr>
          <w:rFonts w:cs="Times New Roman"/>
          <w:snapToGrid w:val="0"/>
        </w:rPr>
        <w:tab/>
      </w:r>
      <w:r w:rsidRPr="006342E3">
        <w:rPr>
          <w:rFonts w:cs="Times New Roman"/>
          <w:snapToGrid w:val="0"/>
        </w:rPr>
        <w:t>Notwithstanding the deduction allowed pursuant to Section 12</w:t>
      </w:r>
      <w:r>
        <w:rPr>
          <w:rFonts w:cs="Times New Roman"/>
          <w:snapToGrid w:val="0"/>
        </w:rPr>
        <w:noBreakHyphen/>
      </w:r>
      <w:r w:rsidRPr="006342E3">
        <w:rPr>
          <w:rFonts w:cs="Times New Roman"/>
          <w:snapToGrid w:val="0"/>
        </w:rPr>
        <w:t>6</w:t>
      </w:r>
      <w:r>
        <w:rPr>
          <w:rFonts w:cs="Times New Roman"/>
          <w:snapToGrid w:val="0"/>
        </w:rPr>
        <w:noBreakHyphen/>
      </w:r>
      <w:r w:rsidRPr="006342E3">
        <w:rPr>
          <w:rFonts w:cs="Times New Roman"/>
          <w:snapToGrid w:val="0"/>
        </w:rPr>
        <w:t>1171(A)(1), beginning in tax year 2016, the amount of the deduction shall be five thousand nine hundred dollars, and it shall increase by two thousand nine hundred dollars every year, until it is completely phased</w:t>
      </w:r>
      <w:r>
        <w:rPr>
          <w:rFonts w:cs="Times New Roman"/>
          <w:snapToGrid w:val="0"/>
        </w:rPr>
        <w:t xml:space="preserve"> </w:t>
      </w:r>
      <w:r w:rsidRPr="006342E3">
        <w:rPr>
          <w:rFonts w:cs="Times New Roman"/>
          <w:snapToGrid w:val="0"/>
        </w:rPr>
        <w:t>in in 2020.  Notwithstanding the deduction allowed pursuant to Section 12</w:t>
      </w:r>
      <w:r>
        <w:rPr>
          <w:rFonts w:cs="Times New Roman"/>
          <w:snapToGrid w:val="0"/>
        </w:rPr>
        <w:noBreakHyphen/>
      </w:r>
      <w:r w:rsidRPr="006342E3">
        <w:rPr>
          <w:rFonts w:cs="Times New Roman"/>
          <w:snapToGrid w:val="0"/>
        </w:rPr>
        <w:t>6</w:t>
      </w:r>
      <w:r>
        <w:rPr>
          <w:rFonts w:cs="Times New Roman"/>
          <w:snapToGrid w:val="0"/>
        </w:rPr>
        <w:noBreakHyphen/>
      </w:r>
      <w:r w:rsidRPr="006342E3">
        <w:rPr>
          <w:rFonts w:cs="Times New Roman"/>
          <w:snapToGrid w:val="0"/>
        </w:rPr>
        <w:t>1171(A)(2), beginning in tax year 2016, the amount of the deduction shall be eighteen thousand dollars, and it shall increase by three thousand dollars every year, until it is completely phased</w:t>
      </w:r>
      <w:r>
        <w:rPr>
          <w:rFonts w:cs="Times New Roman"/>
          <w:snapToGrid w:val="0"/>
        </w:rPr>
        <w:t xml:space="preserve"> </w:t>
      </w:r>
      <w:r w:rsidRPr="006342E3">
        <w:rPr>
          <w:rFonts w:cs="Times New Roman"/>
          <w:snapToGrid w:val="0"/>
        </w:rPr>
        <w:t>in in 2020.</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2EF3" w:rsidRDefault="00632EF3" w:rsidP="00632E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E3D93">
        <w:rPr>
          <w:rFonts w:cs="Times New Roman"/>
          <w:b/>
          <w:color w:val="000000" w:themeColor="text1"/>
          <w:u w:color="000000" w:themeColor="text1"/>
        </w:rPr>
        <w:t>Unused textile revitalization credit</w:t>
      </w:r>
    </w:p>
    <w:p w:rsidR="00632EF3" w:rsidRDefault="00632EF3" w:rsidP="00632E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SECTION</w:t>
      </w:r>
      <w:r w:rsidRPr="006342E3">
        <w:rPr>
          <w:rFonts w:cs="Times New Roman"/>
          <w:snapToGrid w:val="0"/>
        </w:rPr>
        <w:tab/>
        <w:t>2.</w:t>
      </w:r>
      <w:r w:rsidRPr="006342E3">
        <w:rPr>
          <w:rFonts w:cs="Times New Roman"/>
          <w:snapToGrid w:val="0"/>
        </w:rPr>
        <w:tab/>
        <w:t>A.</w:t>
      </w:r>
      <w:r w:rsidRPr="006342E3">
        <w:rPr>
          <w:rFonts w:cs="Times New Roman"/>
          <w:snapToGrid w:val="0"/>
        </w:rPr>
        <w:tab/>
      </w:r>
      <w:r w:rsidRPr="006342E3">
        <w:rPr>
          <w:rFonts w:cs="Times New Roman"/>
          <w:snapToGrid w:val="0"/>
        </w:rPr>
        <w:tab/>
        <w:t>Section 12</w:t>
      </w:r>
      <w:r>
        <w:rPr>
          <w:rFonts w:cs="Times New Roman"/>
          <w:snapToGrid w:val="0"/>
        </w:rPr>
        <w:noBreakHyphen/>
      </w:r>
      <w:r w:rsidRPr="006342E3">
        <w:rPr>
          <w:rFonts w:cs="Times New Roman"/>
          <w:snapToGrid w:val="0"/>
        </w:rPr>
        <w:t>65</w:t>
      </w:r>
      <w:r>
        <w:rPr>
          <w:rFonts w:cs="Times New Roman"/>
          <w:snapToGrid w:val="0"/>
        </w:rPr>
        <w:noBreakHyphen/>
      </w:r>
      <w:r w:rsidRPr="006342E3">
        <w:rPr>
          <w:rFonts w:cs="Times New Roman"/>
          <w:snapToGrid w:val="0"/>
        </w:rPr>
        <w:t>30(C) of the 1976 Code is amended to read:</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ab/>
      </w:r>
      <w:r>
        <w:rPr>
          <w:rFonts w:cs="Times New Roman"/>
          <w:snapToGrid w:val="0"/>
        </w:rPr>
        <w:t>“</w:t>
      </w:r>
      <w:r w:rsidRPr="006342E3">
        <w:rPr>
          <w:rFonts w:cs="Times New Roman"/>
          <w:snapToGrid w:val="0"/>
        </w:rPr>
        <w:t>(C)</w:t>
      </w:r>
      <w:r w:rsidRPr="006342E3">
        <w:rPr>
          <w:rFonts w:cs="Times New Roman"/>
          <w:snapToGrid w:val="0"/>
        </w:rPr>
        <w:tab/>
      </w:r>
      <w:r>
        <w:rPr>
          <w:rFonts w:cs="Times New Roman"/>
          <w:snapToGrid w:val="0"/>
        </w:rPr>
        <w:t xml:space="preserve"> </w:t>
      </w:r>
      <w:r w:rsidRPr="006342E3">
        <w:rPr>
          <w:rFonts w:cs="Times New Roman"/>
          <w:snapToGrid w:val="0"/>
        </w:rPr>
        <w:t>If the taxpayer elects to receive the credit pursuant to subsection (A)(2), the following provisions apply:</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ab/>
      </w:r>
      <w:r w:rsidRPr="006342E3">
        <w:rPr>
          <w:rFonts w:cs="Times New Roman"/>
          <w:snapToGrid w:val="0"/>
        </w:rPr>
        <w:tab/>
        <w:t>(1)</w:t>
      </w:r>
      <w:r w:rsidRPr="006342E3">
        <w:rPr>
          <w:rFonts w:cs="Times New Roman"/>
          <w:snapToGrid w:val="0"/>
        </w:rPr>
        <w:tab/>
        <w:t>The amount of the credit is equal to twenty</w:t>
      </w:r>
      <w:r>
        <w:rPr>
          <w:rFonts w:cs="Times New Roman"/>
          <w:snapToGrid w:val="0"/>
        </w:rPr>
        <w:noBreakHyphen/>
      </w:r>
      <w:r w:rsidRPr="006342E3">
        <w:rPr>
          <w:rFonts w:cs="Times New Roman"/>
          <w:snapToGrid w:val="0"/>
        </w:rPr>
        <w:t>five percent of the actual rehabilitation expenses made at the textile mill site.</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ab/>
      </w:r>
      <w:r w:rsidRPr="006342E3">
        <w:rPr>
          <w:rFonts w:cs="Times New Roman"/>
          <w:snapToGrid w:val="0"/>
        </w:rPr>
        <w:tab/>
        <w:t>(2)</w:t>
      </w:r>
      <w:r w:rsidRPr="006342E3">
        <w:rPr>
          <w:rFonts w:cs="Times New Roman"/>
          <w:snapToGrid w:val="0"/>
        </w:rPr>
        <w:tab/>
        <w:t>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Pr>
          <w:rFonts w:cs="Times New Roman"/>
          <w:snapToGrid w:val="0"/>
        </w:rPr>
        <w:noBreakHyphen/>
      </w:r>
      <w:r w:rsidRPr="006342E3">
        <w:rPr>
          <w:rFonts w:cs="Times New Roman"/>
          <w:snapToGrid w:val="0"/>
        </w:rPr>
        <w:t>five percent of the estimated expenses set forth in the Notice of Intent to Rehabilitate, the taxpayer qualifies for the credit based on one hundred twenty</w:t>
      </w:r>
      <w:r>
        <w:rPr>
          <w:rFonts w:cs="Times New Roman"/>
          <w:snapToGrid w:val="0"/>
        </w:rPr>
        <w:noBreakHyphen/>
      </w:r>
      <w:r w:rsidRPr="006342E3">
        <w:rPr>
          <w:rFonts w:cs="Times New Roman"/>
          <w:snapToGrid w:val="0"/>
        </w:rPr>
        <w:t>five percent of the estimated expenses as opposed to the actual expenses incurred in rehabilitating the textile mill site.</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ab/>
      </w:r>
      <w:r w:rsidRPr="006342E3">
        <w:rPr>
          <w:rFonts w:cs="Times New Roman"/>
          <w:snapToGrid w:val="0"/>
        </w:rPr>
        <w:tab/>
        <w:t>(3)</w:t>
      </w:r>
      <w:r w:rsidRPr="006342E3">
        <w:rPr>
          <w:rFonts w:cs="Times New Roman"/>
          <w:snapToGrid w:val="0"/>
        </w:rPr>
        <w:tab/>
        <w:t>The entire credit is earned in the taxable year in which the applicable phase or portion of the textile mill site is placed in service but must be taken in equal installments over a five</w:t>
      </w:r>
      <w:r>
        <w:rPr>
          <w:rFonts w:cs="Times New Roman"/>
          <w:snapToGrid w:val="0"/>
        </w:rPr>
        <w:noBreakHyphen/>
      </w:r>
      <w:r w:rsidRPr="006342E3">
        <w:rPr>
          <w:rFonts w:cs="Times New Roman"/>
          <w:snapToGrid w:val="0"/>
        </w:rPr>
        <w:t>year period beginning with the tax year in which the applicable phase or portion of the textile mill site is placed in service. Unused credit may be carried forward for the succeeding five years, at the individual, partnership or limited liability company level.</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ab/>
      </w:r>
      <w:r w:rsidRPr="006342E3">
        <w:rPr>
          <w:rFonts w:cs="Times New Roman"/>
          <w:snapToGrid w:val="0"/>
        </w:rPr>
        <w:tab/>
        <w:t>(4)</w:t>
      </w:r>
      <w:r w:rsidRPr="006342E3">
        <w:rPr>
          <w:rFonts w:cs="Times New Roman"/>
          <w:snapToGrid w:val="0"/>
        </w:rPr>
        <w:tab/>
        <w:t>If the taxpayer qualifies for both the credit allowed by this subsection and the credit allowed pursuant to Section 12</w:t>
      </w:r>
      <w:r>
        <w:rPr>
          <w:rFonts w:cs="Times New Roman"/>
          <w:snapToGrid w:val="0"/>
        </w:rPr>
        <w:noBreakHyphen/>
      </w:r>
      <w:r w:rsidRPr="006342E3">
        <w:rPr>
          <w:rFonts w:cs="Times New Roman"/>
          <w:snapToGrid w:val="0"/>
        </w:rPr>
        <w:t>6</w:t>
      </w:r>
      <w:r>
        <w:rPr>
          <w:rFonts w:cs="Times New Roman"/>
          <w:snapToGrid w:val="0"/>
        </w:rPr>
        <w:noBreakHyphen/>
      </w:r>
      <w:r w:rsidRPr="006342E3">
        <w:rPr>
          <w:rFonts w:cs="Times New Roman"/>
          <w:snapToGrid w:val="0"/>
        </w:rPr>
        <w:t>3535, the taxpayer may claim both credits.</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ab/>
      </w:r>
      <w:r w:rsidRPr="006342E3">
        <w:rPr>
          <w:rFonts w:cs="Times New Roman"/>
          <w:snapToGrid w:val="0"/>
        </w:rPr>
        <w:tab/>
        <w:t>(5)</w:t>
      </w:r>
      <w:r w:rsidRPr="006342E3">
        <w:rPr>
          <w:rFonts w:cs="Times New Roman"/>
          <w:snapToGrid w:val="0"/>
        </w:rPr>
        <w:tab/>
        <w:t>The credit allowed by this subsection is limited in use to fifty percent of each of the following:</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ab/>
      </w:r>
      <w:r w:rsidRPr="006342E3">
        <w:rPr>
          <w:rFonts w:cs="Times New Roman"/>
          <w:snapToGrid w:val="0"/>
        </w:rPr>
        <w:tab/>
      </w:r>
      <w:r w:rsidRPr="006342E3">
        <w:rPr>
          <w:rFonts w:cs="Times New Roman"/>
          <w:snapToGrid w:val="0"/>
        </w:rPr>
        <w:tab/>
        <w:t>(a)</w:t>
      </w:r>
      <w:r w:rsidRPr="006342E3">
        <w:rPr>
          <w:rFonts w:cs="Times New Roman"/>
          <w:snapToGrid w:val="0"/>
        </w:rPr>
        <w:tab/>
        <w:t>the taxpayer</w:t>
      </w:r>
      <w:r w:rsidRPr="00192708">
        <w:rPr>
          <w:rFonts w:cs="Times New Roman"/>
          <w:snapToGrid w:val="0"/>
        </w:rPr>
        <w:t>’</w:t>
      </w:r>
      <w:r w:rsidRPr="006342E3">
        <w:rPr>
          <w:rFonts w:cs="Times New Roman"/>
          <w:snapToGrid w:val="0"/>
        </w:rPr>
        <w:t>s income tax liability for the taxable year if taxpayer claims the credit allowed by this section as a credit against income tax imposed pursuant to Chapter 6 or Chapter 11 of this title;</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ab/>
      </w:r>
      <w:r w:rsidRPr="006342E3">
        <w:rPr>
          <w:rFonts w:cs="Times New Roman"/>
          <w:snapToGrid w:val="0"/>
        </w:rPr>
        <w:tab/>
      </w:r>
      <w:r w:rsidRPr="006342E3">
        <w:rPr>
          <w:rFonts w:cs="Times New Roman"/>
          <w:snapToGrid w:val="0"/>
        </w:rPr>
        <w:tab/>
        <w:t>(b)</w:t>
      </w:r>
      <w:r w:rsidRPr="006342E3">
        <w:rPr>
          <w:rFonts w:cs="Times New Roman"/>
          <w:snapToGrid w:val="0"/>
        </w:rPr>
        <w:tab/>
        <w:t>the taxpayer</w:t>
      </w:r>
      <w:r w:rsidRPr="00192708">
        <w:rPr>
          <w:rFonts w:cs="Times New Roman"/>
          <w:snapToGrid w:val="0"/>
        </w:rPr>
        <w:t>’</w:t>
      </w:r>
      <w:r w:rsidRPr="006342E3">
        <w:rPr>
          <w:rFonts w:cs="Times New Roman"/>
          <w:snapToGrid w:val="0"/>
        </w:rPr>
        <w:t>s corporate license fees for the taxable year if the taxpayer claims the credit allowed by this section as a credit against license fees imposed pursuant to Chapter 20; or</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ab/>
      </w:r>
      <w:r w:rsidRPr="006342E3">
        <w:rPr>
          <w:rFonts w:cs="Times New Roman"/>
          <w:snapToGrid w:val="0"/>
        </w:rPr>
        <w:tab/>
      </w:r>
      <w:r w:rsidRPr="006342E3">
        <w:rPr>
          <w:rFonts w:cs="Times New Roman"/>
          <w:snapToGrid w:val="0"/>
        </w:rPr>
        <w:tab/>
        <w:t>(c)</w:t>
      </w:r>
      <w:r w:rsidRPr="006342E3">
        <w:rPr>
          <w:rFonts w:cs="Times New Roman"/>
          <w:snapToGrid w:val="0"/>
        </w:rPr>
        <w:tab/>
        <w:t>the taxpayer</w:t>
      </w:r>
      <w:r w:rsidRPr="00192708">
        <w:rPr>
          <w:rFonts w:cs="Times New Roman"/>
          <w:snapToGrid w:val="0"/>
        </w:rPr>
        <w:t>’</w:t>
      </w:r>
      <w:r w:rsidRPr="006342E3">
        <w:rPr>
          <w:rFonts w:cs="Times New Roman"/>
          <w:snapToGrid w:val="0"/>
        </w:rPr>
        <w:t>s insurance premium taxes imposed by Chapter 7, Title 38.</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ab/>
      </w:r>
      <w:r w:rsidRPr="006342E3">
        <w:rPr>
          <w:rFonts w:cs="Times New Roman"/>
          <w:snapToGrid w:val="0"/>
        </w:rPr>
        <w:tab/>
        <w:t>(6)(a)</w:t>
      </w:r>
      <w:r w:rsidRPr="006342E3">
        <w:rPr>
          <w:rFonts w:cs="Times New Roman"/>
          <w:snapToGrid w:val="0"/>
        </w:rPr>
        <w:tab/>
        <w:t>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ab/>
      </w:r>
      <w:r w:rsidRPr="006342E3">
        <w:rPr>
          <w:rFonts w:cs="Times New Roman"/>
          <w:snapToGrid w:val="0"/>
        </w:rPr>
        <w:tab/>
      </w:r>
      <w:r w:rsidRPr="006342E3">
        <w:rPr>
          <w:rFonts w:cs="Times New Roman"/>
          <w:snapToGrid w:val="0"/>
        </w:rPr>
        <w:tab/>
        <w:t>(b)</w:t>
      </w:r>
      <w:r w:rsidRPr="006342E3">
        <w:rPr>
          <w:rFonts w:cs="Times New Roman"/>
          <w:snapToGrid w:val="0"/>
        </w:rPr>
        <w:tab/>
        <w:t>To the extent that the taxpayer transfers the credit, the taxpayer must notify the department of the transfer in the manner the department prescribes.</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342E3">
        <w:rPr>
          <w:rFonts w:cs="Times New Roman"/>
          <w:snapToGrid w:val="0"/>
        </w:rPr>
        <w:tab/>
      </w:r>
      <w:r w:rsidRPr="006342E3">
        <w:rPr>
          <w:rFonts w:cs="Times New Roman"/>
          <w:snapToGrid w:val="0"/>
        </w:rPr>
        <w:tab/>
        <w:t>(7)</w:t>
      </w:r>
      <w:r w:rsidRPr="006342E3">
        <w:rPr>
          <w:rFonts w:cs="Times New Roman"/>
          <w:snapToGrid w:val="0"/>
        </w:rPr>
        <w:tab/>
        <w:t>To the extent that the taxpayer is a partnership or a limited liability company taxed as a partnership, the credit, including the unused credit carryforward, may be passed through to the partners or members and may be allocated by the taxpayer among any of its partners or members on an annual basis including, without limitation, an allocation of the entire credit or unused credit carryforward to any partner or member who was a member or partner at any time during the year in which the credit is allocated.</w:t>
      </w:r>
      <w:r>
        <w:rPr>
          <w:rFonts w:cs="Times New Roman"/>
          <w:snapToGrid w:val="0"/>
        </w:rPr>
        <w:t>”</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342E3">
        <w:rPr>
          <w:rFonts w:cs="Times New Roman"/>
          <w:snapToGrid w:val="0"/>
        </w:rPr>
        <w:t>B.</w:t>
      </w:r>
      <w:r w:rsidRPr="006342E3">
        <w:rPr>
          <w:rFonts w:cs="Times New Roman"/>
          <w:snapToGrid w:val="0"/>
        </w:rPr>
        <w:tab/>
      </w:r>
      <w:r>
        <w:rPr>
          <w:rFonts w:cs="Times New Roman"/>
          <w:snapToGrid w:val="0"/>
        </w:rPr>
        <w:tab/>
      </w:r>
      <w:r w:rsidRPr="006342E3">
        <w:rPr>
          <w:rFonts w:cs="Times New Roman"/>
          <w:snapToGrid w:val="0"/>
        </w:rPr>
        <w:t>This SECTION shall apply</w:t>
      </w:r>
      <w:r w:rsidRPr="006342E3">
        <w:rPr>
          <w:rFonts w:cs="Times New Roman"/>
          <w:color w:val="000000"/>
        </w:rPr>
        <w:t xml:space="preserve"> to all projects placed in service after December 31, 2014 and for all tax years for which final returns have not been filed as of April 30, 2016.</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32EF3" w:rsidRPr="00D0676A" w:rsidRDefault="00632EF3" w:rsidP="00632E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32EF3" w:rsidRDefault="00632EF3" w:rsidP="00632E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EF3" w:rsidRPr="006342E3" w:rsidRDefault="00632EF3" w:rsidP="00632EF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2E3">
        <w:rPr>
          <w:rFonts w:cs="Times New Roman"/>
        </w:rPr>
        <w:t>SECTION</w:t>
      </w:r>
      <w:r w:rsidRPr="006342E3">
        <w:rPr>
          <w:rFonts w:cs="Times New Roman"/>
        </w:rPr>
        <w:tab/>
        <w:t>3.</w:t>
      </w:r>
      <w:r w:rsidRPr="006342E3">
        <w:rPr>
          <w:rFonts w:cs="Times New Roman"/>
        </w:rPr>
        <w:tab/>
        <w:t>This act takes effect upon approval by the Governor and first applies to tax years beginning after 2015.</w:t>
      </w:r>
    </w:p>
    <w:p w:rsidR="00632EF3" w:rsidRPr="006342E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EF3" w:rsidRDefault="00632EF3"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2016.</w:t>
      </w:r>
    </w:p>
    <w:p w:rsidR="00632EF3" w:rsidRDefault="00632EF3" w:rsidP="00632EF3">
      <w:pPr>
        <w:jc w:val="both"/>
        <w:rPr>
          <w:color w:val="000000" w:themeColor="text1"/>
        </w:rPr>
      </w:pPr>
    </w:p>
    <w:p w:rsidR="00632EF3" w:rsidRDefault="00632EF3" w:rsidP="00632EF3">
      <w:pPr>
        <w:jc w:val="both"/>
        <w:rPr>
          <w:color w:val="000000" w:themeColor="text1"/>
        </w:rPr>
      </w:pPr>
      <w:r>
        <w:rPr>
          <w:color w:val="000000" w:themeColor="text1"/>
        </w:rPr>
        <w:t>Approved the 7</w:t>
      </w:r>
      <w:r w:rsidRPr="00834FF2">
        <w:rPr>
          <w:color w:val="000000" w:themeColor="text1"/>
          <w:vertAlign w:val="superscript"/>
        </w:rPr>
        <w:t>th</w:t>
      </w:r>
      <w:r>
        <w:rPr>
          <w:color w:val="000000" w:themeColor="text1"/>
        </w:rPr>
        <w:t xml:space="preserve"> day of June, 2016. </w:t>
      </w:r>
    </w:p>
    <w:p w:rsidR="00632EF3" w:rsidRDefault="00632EF3" w:rsidP="00632EF3">
      <w:pPr>
        <w:jc w:val="center"/>
        <w:rPr>
          <w:color w:val="000000" w:themeColor="text1"/>
        </w:rPr>
      </w:pPr>
    </w:p>
    <w:p w:rsidR="00632EF3" w:rsidRDefault="00632EF3" w:rsidP="00632EF3">
      <w:pPr>
        <w:jc w:val="center"/>
        <w:rPr>
          <w:color w:val="000000" w:themeColor="text1"/>
        </w:rPr>
      </w:pPr>
      <w:r>
        <w:rPr>
          <w:color w:val="000000" w:themeColor="text1"/>
        </w:rPr>
        <w:t>__________</w:t>
      </w:r>
    </w:p>
    <w:p w:rsidR="00C924BF" w:rsidRPr="00E15F75" w:rsidRDefault="00C924BF" w:rsidP="00632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924BF" w:rsidRPr="00E15F75" w:rsidSect="00C924BF">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20E" w:rsidRDefault="00C1020E" w:rsidP="007D5FAC">
      <w:r>
        <w:separator/>
      </w:r>
    </w:p>
  </w:endnote>
  <w:endnote w:type="continuationSeparator" w:id="0">
    <w:p w:rsidR="00C1020E" w:rsidRDefault="00C1020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F" w:rsidRPr="00C924BF" w:rsidRDefault="00C924BF" w:rsidP="00C924B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32EF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4BF" w:rsidRDefault="00C92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20E" w:rsidRDefault="00C1020E" w:rsidP="007D5FAC">
      <w:r>
        <w:separator/>
      </w:r>
    </w:p>
  </w:footnote>
  <w:footnote w:type="continuationSeparator" w:id="0">
    <w:p w:rsidR="00C1020E" w:rsidRDefault="00C1020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147"/>
    <w:docVar w:name="ActSecretary" w:val="Melton"/>
    <w:docVar w:name="ActSIdno" w:val="(182)  3147DG16"/>
    <w:docVar w:name="clipname" w:val="3147DG16"/>
    <w:docVar w:name="dvBillNumber" w:val="3147"/>
    <w:docVar w:name="dvBillNumberPrefix" w:val="H"/>
    <w:docVar w:name="dvOriginalBody" w:val="House"/>
    <w:docVar w:name="HOUSEACTFULLPATH" w:val="L:\COUNCIL\ACTS\3147DG16.DOCX"/>
    <w:docVar w:name="OrigHOUSEBillNo" w:val="3147"/>
    <w:docVar w:name="WhatActtype" w:val="AN ACT"/>
  </w:docVars>
  <w:rsids>
    <w:rsidRoot w:val="00C1020E"/>
    <w:rsid w:val="00002DE0"/>
    <w:rsid w:val="00020349"/>
    <w:rsid w:val="00020977"/>
    <w:rsid w:val="00021B0B"/>
    <w:rsid w:val="00040C05"/>
    <w:rsid w:val="0004579B"/>
    <w:rsid w:val="00051B4F"/>
    <w:rsid w:val="0005360A"/>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44E7"/>
    <w:rsid w:val="001626DB"/>
    <w:rsid w:val="00170F30"/>
    <w:rsid w:val="00172771"/>
    <w:rsid w:val="001747A9"/>
    <w:rsid w:val="001750EA"/>
    <w:rsid w:val="001754BB"/>
    <w:rsid w:val="0018353C"/>
    <w:rsid w:val="00190C1B"/>
    <w:rsid w:val="00192708"/>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2F68"/>
    <w:rsid w:val="00204492"/>
    <w:rsid w:val="002068E6"/>
    <w:rsid w:val="00206EF4"/>
    <w:rsid w:val="00206FB0"/>
    <w:rsid w:val="00212CD6"/>
    <w:rsid w:val="00213EE9"/>
    <w:rsid w:val="00215235"/>
    <w:rsid w:val="00223E0F"/>
    <w:rsid w:val="002240A6"/>
    <w:rsid w:val="00226AE7"/>
    <w:rsid w:val="00231146"/>
    <w:rsid w:val="002321B6"/>
    <w:rsid w:val="00234401"/>
    <w:rsid w:val="00234E70"/>
    <w:rsid w:val="002367D4"/>
    <w:rsid w:val="00241B81"/>
    <w:rsid w:val="00241C04"/>
    <w:rsid w:val="002423EA"/>
    <w:rsid w:val="00242F15"/>
    <w:rsid w:val="00245500"/>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123C"/>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025D"/>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490A"/>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2EF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6030"/>
    <w:rsid w:val="006C2574"/>
    <w:rsid w:val="006C7535"/>
    <w:rsid w:val="006C7D00"/>
    <w:rsid w:val="006E038F"/>
    <w:rsid w:val="006F22C0"/>
    <w:rsid w:val="006F290C"/>
    <w:rsid w:val="007009F2"/>
    <w:rsid w:val="00703D30"/>
    <w:rsid w:val="00704FF9"/>
    <w:rsid w:val="007052EC"/>
    <w:rsid w:val="00706B65"/>
    <w:rsid w:val="007152FB"/>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2AC"/>
    <w:rsid w:val="007B296A"/>
    <w:rsid w:val="007B2D27"/>
    <w:rsid w:val="007B59FD"/>
    <w:rsid w:val="007C3D08"/>
    <w:rsid w:val="007C3EC8"/>
    <w:rsid w:val="007C7B7F"/>
    <w:rsid w:val="007D5FAC"/>
    <w:rsid w:val="007E19E6"/>
    <w:rsid w:val="007E3A81"/>
    <w:rsid w:val="007F38B0"/>
    <w:rsid w:val="007F6631"/>
    <w:rsid w:val="007F6D46"/>
    <w:rsid w:val="007F7184"/>
    <w:rsid w:val="00800AD0"/>
    <w:rsid w:val="0080299A"/>
    <w:rsid w:val="00805054"/>
    <w:rsid w:val="00805324"/>
    <w:rsid w:val="008066FB"/>
    <w:rsid w:val="00806F5B"/>
    <w:rsid w:val="0081729E"/>
    <w:rsid w:val="00824F37"/>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678D"/>
    <w:rsid w:val="00A07F7B"/>
    <w:rsid w:val="00A14F94"/>
    <w:rsid w:val="00A23CED"/>
    <w:rsid w:val="00A25E64"/>
    <w:rsid w:val="00A26387"/>
    <w:rsid w:val="00A3022E"/>
    <w:rsid w:val="00A32D49"/>
    <w:rsid w:val="00A347C9"/>
    <w:rsid w:val="00A377BB"/>
    <w:rsid w:val="00A37C1C"/>
    <w:rsid w:val="00A46627"/>
    <w:rsid w:val="00A475E8"/>
    <w:rsid w:val="00A52DC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9EB"/>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5B1F"/>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020E"/>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4BF"/>
    <w:rsid w:val="00C92B4F"/>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76A"/>
    <w:rsid w:val="00D06DCC"/>
    <w:rsid w:val="00D1180E"/>
    <w:rsid w:val="00D132DB"/>
    <w:rsid w:val="00D13C21"/>
    <w:rsid w:val="00D16839"/>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E3C"/>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5F75"/>
    <w:rsid w:val="00E32E27"/>
    <w:rsid w:val="00E33964"/>
    <w:rsid w:val="00E33DFF"/>
    <w:rsid w:val="00E3462F"/>
    <w:rsid w:val="00E36231"/>
    <w:rsid w:val="00E500F1"/>
    <w:rsid w:val="00E521DD"/>
    <w:rsid w:val="00E5358E"/>
    <w:rsid w:val="00E60357"/>
    <w:rsid w:val="00E61B4C"/>
    <w:rsid w:val="00E62003"/>
    <w:rsid w:val="00E71D4E"/>
    <w:rsid w:val="00E73A9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071A"/>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5DD"/>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3894"/>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78664E6C-24DE-4E4D-A479-C03A08E7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924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55B1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924B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544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4-28-15.docx" TargetMode="External"/><Relationship Id="rId13" Type="http://schemas.openxmlformats.org/officeDocument/2006/relationships/hyperlink" Target="file:///h:\SJ%20Archive\2015\04-29-15.docx" TargetMode="External"/><Relationship Id="rId18" Type="http://schemas.openxmlformats.org/officeDocument/2006/relationships/hyperlink" Target="file:///h:\SJ%20Archive\2016\06-02-16.docx" TargetMode="External"/><Relationship Id="rId26" Type="http://schemas.openxmlformats.org/officeDocument/2006/relationships/hyperlink" Target="file:///p:\pprever\2015-16\3147_20160602.docx" TargetMode="External"/><Relationship Id="rId3" Type="http://schemas.openxmlformats.org/officeDocument/2006/relationships/settings" Target="settings.xml"/><Relationship Id="rId21" Type="http://schemas.openxmlformats.org/officeDocument/2006/relationships/hyperlink" Target="http://www.scstatehouse.gov/billsearch.php?billnumbers=3147&amp;session=121&amp;summary=B" TargetMode="External"/><Relationship Id="rId7" Type="http://schemas.openxmlformats.org/officeDocument/2006/relationships/hyperlink" Target="file:///h:\HJ%20Archive\2015\04-23-15.docx" TargetMode="External"/><Relationship Id="rId12" Type="http://schemas.openxmlformats.org/officeDocument/2006/relationships/hyperlink" Target="file:///h:\SJ%20Archive\2015\04-29-15.docx" TargetMode="External"/><Relationship Id="rId17" Type="http://schemas.openxmlformats.org/officeDocument/2006/relationships/hyperlink" Target="file:///h:\SJ%20Archive\2016\06-02-16.docx" TargetMode="External"/><Relationship Id="rId25" Type="http://schemas.openxmlformats.org/officeDocument/2006/relationships/hyperlink" Target="file:///p:\pprever\2015-16\3147_20160421.docx" TargetMode="External"/><Relationship Id="rId2" Type="http://schemas.openxmlformats.org/officeDocument/2006/relationships/styles" Target="styles.xml"/><Relationship Id="rId16" Type="http://schemas.openxmlformats.org/officeDocument/2006/relationships/hyperlink" Target="file:///h:\SJ%20Archive\2016\06-01-16.docx" TargetMode="External"/><Relationship Id="rId20" Type="http://schemas.openxmlformats.org/officeDocument/2006/relationships/hyperlink" Target="file:///h:\HJ%20Archive\2016\06-02-16.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9-15.docx" TargetMode="External"/><Relationship Id="rId24" Type="http://schemas.openxmlformats.org/officeDocument/2006/relationships/hyperlink" Target="file:///p:\pprever\2015-16\3147_20160323.docx" TargetMode="External"/><Relationship Id="rId5" Type="http://schemas.openxmlformats.org/officeDocument/2006/relationships/footnotes" Target="footnotes.xml"/><Relationship Id="rId15" Type="http://schemas.openxmlformats.org/officeDocument/2006/relationships/hyperlink" Target="file:///h:\SJ%20Archive\2016\04-21-16.docx" TargetMode="External"/><Relationship Id="rId23" Type="http://schemas.openxmlformats.org/officeDocument/2006/relationships/hyperlink" Target="file:///p:\pprever\2015-16\3147_20150423.docx" TargetMode="External"/><Relationship Id="rId28" Type="http://schemas.openxmlformats.org/officeDocument/2006/relationships/footer" Target="footer2.xml"/><Relationship Id="rId10" Type="http://schemas.openxmlformats.org/officeDocument/2006/relationships/hyperlink" Target="file:///h:\HJ%20Archive\2015\04-29-15.docx" TargetMode="External"/><Relationship Id="rId19" Type="http://schemas.openxmlformats.org/officeDocument/2006/relationships/hyperlink" Target="file:///h:\HJ%20Archive\2016\06-02-16.docx" TargetMode="External"/><Relationship Id="rId4" Type="http://schemas.openxmlformats.org/officeDocument/2006/relationships/webSettings" Target="webSettings.xml"/><Relationship Id="rId9" Type="http://schemas.openxmlformats.org/officeDocument/2006/relationships/hyperlink" Target="file:///h:\HJ%20Archive\2015\04-28-15.docx" TargetMode="External"/><Relationship Id="rId14" Type="http://schemas.openxmlformats.org/officeDocument/2006/relationships/hyperlink" Target="file:///h:\SJ%20Archive\2016\03-23-16.docx" TargetMode="External"/><Relationship Id="rId22" Type="http://schemas.openxmlformats.org/officeDocument/2006/relationships/hyperlink" Target="file:///p:\pprever\2015-16\3147_2014121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A77AB-83AC-4F61-8FC2-598DA754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3147: Taxable income deductions - South Carolina Legislature Online</dc:title>
  <dc:subject/>
  <dc:creator>BRENDA MELTON</dc:creator>
  <cp:keywords/>
  <dc:description/>
  <cp:lastModifiedBy>N Cumfer</cp:lastModifiedBy>
  <cp:revision>2</cp:revision>
  <cp:lastPrinted>2016-06-03T13:33:00Z</cp:lastPrinted>
  <dcterms:created xsi:type="dcterms:W3CDTF">2016-12-02T17:46:00Z</dcterms:created>
  <dcterms:modified xsi:type="dcterms:W3CDTF">2016-12-02T17:46:00Z</dcterms:modified>
</cp:coreProperties>
</file>