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316F0">
        <w:rPr>
          <w:rFonts w:eastAsia="Times New Roman" w:cs="Times New Roman"/>
          <w:b/>
          <w:szCs w:val="20"/>
        </w:rPr>
        <w:t>South Carolina General Assembly</w:t>
      </w: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316F0">
        <w:rPr>
          <w:rFonts w:eastAsia="Times New Roman" w:cs="Times New Roman"/>
          <w:szCs w:val="20"/>
        </w:rPr>
        <w:t>121st Session, 2015-2016</w:t>
      </w: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16F0" w:rsidRPr="006316F0" w:rsidRDefault="00062A88"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A251, R250, H3313</w:t>
      </w: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16F0">
        <w:rPr>
          <w:rFonts w:eastAsia="Times New Roman" w:cs="Times New Roman"/>
          <w:b/>
          <w:szCs w:val="20"/>
        </w:rPr>
        <w:t>STATUS INFORMATION</w:t>
      </w: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16F0">
        <w:rPr>
          <w:rFonts w:eastAsia="Times New Roman" w:cs="Times New Roman"/>
          <w:szCs w:val="20"/>
        </w:rPr>
        <w:t>General Bill</w:t>
      </w: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16F0">
        <w:rPr>
          <w:rFonts w:eastAsia="Times New Roman" w:cs="Times New Roman"/>
          <w:szCs w:val="20"/>
        </w:rPr>
        <w:t>Sponsors: Reps. Pope, Simrill, Ballentine, Felder, Atwater, Bedingfield, Spires, Clary, Collins, Delleney, Hamilton, Hiott, Hixon, V.S. Moss, Norman, Stringer, Toole, W.J. McLeod and Newton</w:t>
      </w: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16F0">
        <w:rPr>
          <w:rFonts w:eastAsia="Times New Roman" w:cs="Times New Roman"/>
          <w:szCs w:val="20"/>
        </w:rPr>
        <w:t>Document Path: l:\council\bills\bh\26175dg15.docx</w:t>
      </w: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16F0">
        <w:rPr>
          <w:rFonts w:eastAsia="Times New Roman" w:cs="Times New Roman"/>
          <w:szCs w:val="20"/>
        </w:rPr>
        <w:t>Companion/Similar bill(s): 401</w:t>
      </w: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4FEF" w:rsidRDefault="00444FEF"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2015</w:t>
      </w:r>
    </w:p>
    <w:p w:rsidR="00444FEF" w:rsidRDefault="00444FEF"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2015</w:t>
      </w:r>
    </w:p>
    <w:p w:rsidR="00444FEF" w:rsidRDefault="00444FEF"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18, 2016</w:t>
      </w:r>
    </w:p>
    <w:p w:rsidR="00444FEF" w:rsidRDefault="00444FEF"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444FEF" w:rsidRDefault="00444FEF"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2016, Signed</w:t>
      </w:r>
    </w:p>
    <w:p w:rsidR="00444FEF" w:rsidRDefault="00444FEF"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16F0">
        <w:rPr>
          <w:rFonts w:eastAsia="Times New Roman" w:cs="Times New Roman"/>
          <w:szCs w:val="20"/>
        </w:rPr>
        <w:t>Summary: Roll- back tax due on a parcel</w:t>
      </w: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16F0" w:rsidRPr="006316F0" w:rsidRDefault="006316F0" w:rsidP="006316F0">
      <w:pPr>
        <w:widowControl w:val="0"/>
        <w:tabs>
          <w:tab w:val="center" w:pos="590"/>
          <w:tab w:val="center" w:pos="1440"/>
          <w:tab w:val="left" w:pos="1872"/>
          <w:tab w:val="left" w:pos="9187"/>
        </w:tabs>
        <w:rPr>
          <w:rFonts w:eastAsia="Times New Roman" w:cs="Times New Roman"/>
          <w:szCs w:val="20"/>
        </w:rPr>
      </w:pPr>
      <w:r w:rsidRPr="006316F0">
        <w:rPr>
          <w:rFonts w:eastAsia="Times New Roman" w:cs="Times New Roman"/>
          <w:b/>
          <w:szCs w:val="20"/>
        </w:rPr>
        <w:t>HISTORY OF LEGISLATIVE ACTIONS</w:t>
      </w:r>
    </w:p>
    <w:p w:rsidR="006316F0" w:rsidRPr="006316F0" w:rsidRDefault="006316F0" w:rsidP="006316F0">
      <w:pPr>
        <w:widowControl w:val="0"/>
        <w:tabs>
          <w:tab w:val="center" w:pos="590"/>
          <w:tab w:val="center" w:pos="1440"/>
          <w:tab w:val="left" w:pos="1872"/>
          <w:tab w:val="left" w:pos="9187"/>
        </w:tabs>
        <w:rPr>
          <w:rFonts w:eastAsia="Times New Roman" w:cs="Times New Roman"/>
          <w:szCs w:val="20"/>
        </w:rPr>
      </w:pPr>
    </w:p>
    <w:p w:rsidR="006316F0" w:rsidRPr="006316F0" w:rsidRDefault="006316F0" w:rsidP="006316F0">
      <w:pPr>
        <w:widowControl w:val="0"/>
        <w:tabs>
          <w:tab w:val="center" w:pos="590"/>
          <w:tab w:val="center" w:pos="1440"/>
          <w:tab w:val="left" w:pos="1872"/>
          <w:tab w:val="left" w:pos="9187"/>
        </w:tabs>
        <w:rPr>
          <w:rFonts w:eastAsia="Times New Roman" w:cs="Times New Roman"/>
          <w:szCs w:val="20"/>
        </w:rPr>
      </w:pPr>
      <w:r w:rsidRPr="006316F0">
        <w:rPr>
          <w:rFonts w:eastAsia="Times New Roman" w:cs="Times New Roman"/>
          <w:szCs w:val="20"/>
          <w:u w:val="single"/>
        </w:rPr>
        <w:tab/>
        <w:t>Date</w:t>
      </w:r>
      <w:r w:rsidRPr="006316F0">
        <w:rPr>
          <w:rFonts w:eastAsia="Times New Roman" w:cs="Times New Roman"/>
          <w:szCs w:val="20"/>
          <w:u w:val="single"/>
        </w:rPr>
        <w:tab/>
        <w:t>Body</w:t>
      </w:r>
      <w:r w:rsidRPr="006316F0">
        <w:rPr>
          <w:rFonts w:eastAsia="Times New Roman" w:cs="Times New Roman"/>
          <w:szCs w:val="20"/>
          <w:u w:val="single"/>
        </w:rPr>
        <w:tab/>
        <w:t>Action Description with journal page number</w:t>
      </w:r>
      <w:r w:rsidRPr="006316F0">
        <w:rPr>
          <w:rFonts w:eastAsia="Times New Roman" w:cs="Times New Roman"/>
          <w:szCs w:val="20"/>
          <w:u w:val="single"/>
        </w:rPr>
        <w:tab/>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1/14/2015</w:t>
      </w:r>
      <w:r>
        <w:rPr>
          <w:rFonts w:cs="Times New Roman"/>
        </w:rPr>
        <w:tab/>
        <w:t>House</w:t>
      </w:r>
      <w:r>
        <w:rPr>
          <w:rFonts w:cs="Times New Roman"/>
        </w:rPr>
        <w:tab/>
      </w:r>
      <w:r w:rsidRPr="00F378EE">
        <w:rPr>
          <w:rFonts w:cs="Times New Roman"/>
        </w:rPr>
        <w:t>Introduced and read first time (</w:t>
      </w:r>
      <w:hyperlink r:id="rId7" w:history="1">
        <w:r w:rsidRPr="004346D0">
          <w:rPr>
            <w:rStyle w:val="Hyperlink"/>
            <w:rFonts w:cs="Times New Roman"/>
          </w:rPr>
          <w:t>House Journal</w:t>
        </w:r>
        <w:r w:rsidRPr="004346D0">
          <w:rPr>
            <w:rStyle w:val="Hyperlink"/>
            <w:rFonts w:cs="Times New Roman"/>
          </w:rPr>
          <w:noBreakHyphen/>
          <w:t>page 77</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1/14/2015</w:t>
      </w:r>
      <w:r>
        <w:rPr>
          <w:rFonts w:cs="Times New Roman"/>
        </w:rPr>
        <w:tab/>
        <w:t>House</w:t>
      </w:r>
      <w:r>
        <w:rPr>
          <w:rFonts w:cs="Times New Roman"/>
        </w:rPr>
        <w:tab/>
      </w:r>
      <w:r w:rsidRPr="00F378EE">
        <w:rPr>
          <w:rFonts w:cs="Times New Roman"/>
        </w:rPr>
        <w:t>Referred</w:t>
      </w:r>
      <w:r>
        <w:rPr>
          <w:rFonts w:cs="Times New Roman"/>
        </w:rPr>
        <w:t xml:space="preserve"> to Committee on </w:t>
      </w:r>
      <w:r w:rsidRPr="00F378EE">
        <w:rPr>
          <w:rFonts w:cs="Times New Roman"/>
          <w:b/>
        </w:rPr>
        <w:t>Ways and Means</w:t>
      </w:r>
      <w:r>
        <w:rPr>
          <w:rFonts w:cs="Times New Roman"/>
        </w:rPr>
        <w:t xml:space="preserve"> </w:t>
      </w:r>
      <w:r w:rsidRPr="00F378EE">
        <w:rPr>
          <w:rFonts w:cs="Times New Roman"/>
        </w:rPr>
        <w:t>(</w:t>
      </w:r>
      <w:hyperlink r:id="rId8" w:history="1">
        <w:r w:rsidRPr="004346D0">
          <w:rPr>
            <w:rStyle w:val="Hyperlink"/>
            <w:rFonts w:cs="Times New Roman"/>
          </w:rPr>
          <w:t>House Journal</w:t>
        </w:r>
        <w:r w:rsidRPr="004346D0">
          <w:rPr>
            <w:rStyle w:val="Hyperlink"/>
            <w:rFonts w:cs="Times New Roman"/>
          </w:rPr>
          <w:noBreakHyphen/>
          <w:t>page 77</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F378EE">
        <w:rPr>
          <w:rFonts w:cs="Times New Roman"/>
        </w:rPr>
        <w:t>Committee report</w:t>
      </w:r>
      <w:r>
        <w:rPr>
          <w:rFonts w:cs="Times New Roman"/>
        </w:rPr>
        <w:t xml:space="preserve">: Favorable with amendment </w:t>
      </w:r>
      <w:r w:rsidRPr="00F378EE">
        <w:rPr>
          <w:rFonts w:cs="Times New Roman"/>
          <w:b/>
        </w:rPr>
        <w:t>Ways and Means</w:t>
      </w:r>
      <w:r w:rsidRPr="00F378EE">
        <w:rPr>
          <w:rFonts w:cs="Times New Roman"/>
        </w:rPr>
        <w:t xml:space="preserve"> (</w:t>
      </w:r>
      <w:hyperlink r:id="rId9" w:history="1">
        <w:r w:rsidRPr="004346D0">
          <w:rPr>
            <w:rStyle w:val="Hyperlink"/>
            <w:rFonts w:cs="Times New Roman"/>
          </w:rPr>
          <w:t>House Journal</w:t>
        </w:r>
        <w:r w:rsidRPr="004346D0">
          <w:rPr>
            <w:rStyle w:val="Hyperlink"/>
            <w:rFonts w:cs="Times New Roman"/>
          </w:rPr>
          <w:noBreakHyphen/>
          <w:t>page 122</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r>
      <w:r>
        <w:rPr>
          <w:rFonts w:cs="Times New Roman"/>
        </w:rPr>
        <w:tab/>
      </w:r>
      <w:r w:rsidRPr="00F378EE">
        <w:rPr>
          <w:rFonts w:cs="Times New Roman"/>
        </w:rPr>
        <w:t>Scrivener's error corrected</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F378EE">
        <w:rPr>
          <w:rFonts w:cs="Times New Roman"/>
        </w:rPr>
        <w:t>Amended (</w:t>
      </w:r>
      <w:hyperlink r:id="rId10" w:history="1">
        <w:r w:rsidRPr="004346D0">
          <w:rPr>
            <w:rStyle w:val="Hyperlink"/>
            <w:rFonts w:cs="Times New Roman"/>
          </w:rPr>
          <w:t>House Journal</w:t>
        </w:r>
        <w:r w:rsidRPr="004346D0">
          <w:rPr>
            <w:rStyle w:val="Hyperlink"/>
            <w:rFonts w:cs="Times New Roman"/>
          </w:rPr>
          <w:noBreakHyphen/>
          <w:t>page 121</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F378EE">
        <w:rPr>
          <w:rFonts w:cs="Times New Roman"/>
        </w:rPr>
        <w:t>Member(s)</w:t>
      </w:r>
      <w:r>
        <w:rPr>
          <w:rFonts w:cs="Times New Roman"/>
        </w:rPr>
        <w:t xml:space="preserve"> request name added as sponsor: </w:t>
      </w:r>
      <w:r w:rsidRPr="00F378EE">
        <w:rPr>
          <w:rFonts w:cs="Times New Roman"/>
        </w:rPr>
        <w:t>W.J.McLeod, Newton</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F378EE">
        <w:rPr>
          <w:rFonts w:cs="Times New Roman"/>
        </w:rPr>
        <w:t>Read second time (</w:t>
      </w:r>
      <w:hyperlink r:id="rId11" w:history="1">
        <w:r w:rsidRPr="004346D0">
          <w:rPr>
            <w:rStyle w:val="Hyperlink"/>
            <w:rFonts w:cs="Times New Roman"/>
          </w:rPr>
          <w:t>House Journal</w:t>
        </w:r>
        <w:r w:rsidRPr="004346D0">
          <w:rPr>
            <w:rStyle w:val="Hyperlink"/>
            <w:rFonts w:cs="Times New Roman"/>
          </w:rPr>
          <w:noBreakHyphen/>
          <w:t>page 114</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F378EE">
        <w:rPr>
          <w:rFonts w:cs="Times New Roman"/>
        </w:rPr>
        <w:t>Roll call Yeas</w:t>
      </w:r>
      <w:r>
        <w:rPr>
          <w:rFonts w:cs="Times New Roman"/>
        </w:rPr>
        <w:noBreakHyphen/>
      </w:r>
      <w:r w:rsidRPr="00F378EE">
        <w:rPr>
          <w:rFonts w:cs="Times New Roman"/>
        </w:rPr>
        <w:t>107  Nays</w:t>
      </w:r>
      <w:r>
        <w:rPr>
          <w:rFonts w:cs="Times New Roman"/>
        </w:rPr>
        <w:noBreakHyphen/>
      </w:r>
      <w:r w:rsidRPr="00F378EE">
        <w:rPr>
          <w:rFonts w:cs="Times New Roman"/>
        </w:rPr>
        <w:t>0 (</w:t>
      </w:r>
      <w:hyperlink r:id="rId12" w:history="1">
        <w:r w:rsidRPr="004346D0">
          <w:rPr>
            <w:rStyle w:val="Hyperlink"/>
            <w:rFonts w:cs="Times New Roman"/>
          </w:rPr>
          <w:t>House Journal</w:t>
        </w:r>
        <w:r w:rsidRPr="004346D0">
          <w:rPr>
            <w:rStyle w:val="Hyperlink"/>
            <w:rFonts w:cs="Times New Roman"/>
          </w:rPr>
          <w:noBreakHyphen/>
          <w:t>page 115</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F378EE">
        <w:rPr>
          <w:rFonts w:cs="Times New Roman"/>
        </w:rPr>
        <w:t>Rea</w:t>
      </w:r>
      <w:r>
        <w:rPr>
          <w:rFonts w:cs="Times New Roman"/>
        </w:rPr>
        <w:t xml:space="preserve">d third time and sent to Senate </w:t>
      </w:r>
      <w:r w:rsidRPr="00F378EE">
        <w:rPr>
          <w:rFonts w:cs="Times New Roman"/>
        </w:rPr>
        <w:t>(</w:t>
      </w:r>
      <w:hyperlink r:id="rId13" w:history="1">
        <w:r w:rsidRPr="004346D0">
          <w:rPr>
            <w:rStyle w:val="Hyperlink"/>
            <w:rFonts w:cs="Times New Roman"/>
          </w:rPr>
          <w:t>House Journal</w:t>
        </w:r>
        <w:r w:rsidRPr="004346D0">
          <w:rPr>
            <w:rStyle w:val="Hyperlink"/>
            <w:rFonts w:cs="Times New Roman"/>
          </w:rPr>
          <w:noBreakHyphen/>
          <w:t>page 10</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F378EE">
        <w:rPr>
          <w:rFonts w:cs="Times New Roman"/>
        </w:rPr>
        <w:t>Introduced and read first time (</w:t>
      </w:r>
      <w:hyperlink r:id="rId14" w:history="1">
        <w:r w:rsidRPr="004346D0">
          <w:rPr>
            <w:rStyle w:val="Hyperlink"/>
            <w:rFonts w:cs="Times New Roman"/>
          </w:rPr>
          <w:t>Senate Journal</w:t>
        </w:r>
        <w:r w:rsidRPr="004346D0">
          <w:rPr>
            <w:rStyle w:val="Hyperlink"/>
            <w:rFonts w:cs="Times New Roman"/>
          </w:rPr>
          <w:noBreakHyphen/>
          <w:t>page 9</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F378EE">
        <w:rPr>
          <w:rFonts w:cs="Times New Roman"/>
        </w:rPr>
        <w:t>R</w:t>
      </w:r>
      <w:r>
        <w:rPr>
          <w:rFonts w:cs="Times New Roman"/>
        </w:rPr>
        <w:t xml:space="preserve">eferred to Committee on </w:t>
      </w:r>
      <w:r w:rsidRPr="00F378EE">
        <w:rPr>
          <w:rFonts w:cs="Times New Roman"/>
          <w:b/>
        </w:rPr>
        <w:t>Finance</w:t>
      </w:r>
      <w:r>
        <w:rPr>
          <w:rFonts w:cs="Times New Roman"/>
        </w:rPr>
        <w:t xml:space="preserve"> </w:t>
      </w:r>
      <w:r w:rsidRPr="00F378EE">
        <w:rPr>
          <w:rFonts w:cs="Times New Roman"/>
        </w:rPr>
        <w:t>(</w:t>
      </w:r>
      <w:hyperlink r:id="rId15" w:history="1">
        <w:r w:rsidRPr="004346D0">
          <w:rPr>
            <w:rStyle w:val="Hyperlink"/>
            <w:rFonts w:cs="Times New Roman"/>
          </w:rPr>
          <w:t>Senate Journal</w:t>
        </w:r>
        <w:r w:rsidRPr="004346D0">
          <w:rPr>
            <w:rStyle w:val="Hyperlink"/>
            <w:rFonts w:cs="Times New Roman"/>
          </w:rPr>
          <w:noBreakHyphen/>
          <w:t>page 9</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F378EE">
        <w:rPr>
          <w:rFonts w:cs="Times New Roman"/>
        </w:rPr>
        <w:t>Committee r</w:t>
      </w:r>
      <w:r>
        <w:rPr>
          <w:rFonts w:cs="Times New Roman"/>
        </w:rPr>
        <w:t xml:space="preserve">eport: Favorable with amendment </w:t>
      </w:r>
      <w:r w:rsidRPr="00F378EE">
        <w:rPr>
          <w:rFonts w:cs="Times New Roman"/>
          <w:b/>
        </w:rPr>
        <w:t>Finance</w:t>
      </w:r>
      <w:r w:rsidRPr="00F378EE">
        <w:rPr>
          <w:rFonts w:cs="Times New Roman"/>
        </w:rPr>
        <w:t xml:space="preserve"> (</w:t>
      </w:r>
      <w:hyperlink r:id="rId16" w:history="1">
        <w:r w:rsidRPr="004346D0">
          <w:rPr>
            <w:rStyle w:val="Hyperlink"/>
            <w:rFonts w:cs="Times New Roman"/>
          </w:rPr>
          <w:t>Senate Journal</w:t>
        </w:r>
        <w:r w:rsidRPr="004346D0">
          <w:rPr>
            <w:rStyle w:val="Hyperlink"/>
            <w:rFonts w:cs="Times New Roman"/>
          </w:rPr>
          <w:noBreakHyphen/>
          <w:t>page 13</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F378EE">
        <w:rPr>
          <w:rFonts w:cs="Times New Roman"/>
        </w:rPr>
        <w:t>Committee Amendment Adopted (</w:t>
      </w:r>
      <w:hyperlink r:id="rId17" w:history="1">
        <w:r w:rsidRPr="004346D0">
          <w:rPr>
            <w:rStyle w:val="Hyperlink"/>
            <w:rFonts w:cs="Times New Roman"/>
          </w:rPr>
          <w:t>Senate Journal</w:t>
        </w:r>
        <w:r w:rsidRPr="004346D0">
          <w:rPr>
            <w:rStyle w:val="Hyperlink"/>
            <w:rFonts w:cs="Times New Roman"/>
          </w:rPr>
          <w:noBreakHyphen/>
          <w:t>page 34</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F378EE">
        <w:rPr>
          <w:rFonts w:cs="Times New Roman"/>
        </w:rPr>
        <w:t>Amended (</w:t>
      </w:r>
      <w:hyperlink r:id="rId18" w:history="1">
        <w:r w:rsidRPr="004346D0">
          <w:rPr>
            <w:rStyle w:val="Hyperlink"/>
            <w:rFonts w:cs="Times New Roman"/>
          </w:rPr>
          <w:t>Senate Journal</w:t>
        </w:r>
        <w:r w:rsidRPr="004346D0">
          <w:rPr>
            <w:rStyle w:val="Hyperlink"/>
            <w:rFonts w:cs="Times New Roman"/>
          </w:rPr>
          <w:noBreakHyphen/>
          <w:t>page 34</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F378EE">
        <w:rPr>
          <w:rFonts w:cs="Times New Roman"/>
        </w:rPr>
        <w:t>Amended (</w:t>
      </w:r>
      <w:hyperlink r:id="rId19" w:history="1">
        <w:r w:rsidRPr="004346D0">
          <w:rPr>
            <w:rStyle w:val="Hyperlink"/>
            <w:rFonts w:cs="Times New Roman"/>
          </w:rPr>
          <w:t>Senate Journal</w:t>
        </w:r>
        <w:r w:rsidRPr="004346D0">
          <w:rPr>
            <w:rStyle w:val="Hyperlink"/>
            <w:rFonts w:cs="Times New Roman"/>
          </w:rPr>
          <w:noBreakHyphen/>
          <w:t>page 30</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5/16/2016</w:t>
      </w:r>
      <w:r>
        <w:rPr>
          <w:rFonts w:cs="Times New Roman"/>
        </w:rPr>
        <w:tab/>
      </w:r>
      <w:r>
        <w:rPr>
          <w:rFonts w:cs="Times New Roman"/>
        </w:rPr>
        <w:tab/>
      </w:r>
      <w:r w:rsidRPr="00F378EE">
        <w:rPr>
          <w:rFonts w:cs="Times New Roman"/>
        </w:rPr>
        <w:t>Scrivener's error corrected</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F378EE">
        <w:rPr>
          <w:rFonts w:cs="Times New Roman"/>
        </w:rPr>
        <w:t>Amended (</w:t>
      </w:r>
      <w:hyperlink r:id="rId20" w:history="1">
        <w:r w:rsidRPr="004346D0">
          <w:rPr>
            <w:rStyle w:val="Hyperlink"/>
            <w:rFonts w:cs="Times New Roman"/>
          </w:rPr>
          <w:t>Senate Journal</w:t>
        </w:r>
        <w:r w:rsidRPr="004346D0">
          <w:rPr>
            <w:rStyle w:val="Hyperlink"/>
            <w:rFonts w:cs="Times New Roman"/>
          </w:rPr>
          <w:noBreakHyphen/>
          <w:t>page 47</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F378EE">
        <w:rPr>
          <w:rFonts w:cs="Times New Roman"/>
        </w:rPr>
        <w:t>Read second time (</w:t>
      </w:r>
      <w:hyperlink r:id="rId21" w:history="1">
        <w:r w:rsidRPr="004346D0">
          <w:rPr>
            <w:rStyle w:val="Hyperlink"/>
            <w:rFonts w:cs="Times New Roman"/>
          </w:rPr>
          <w:t>Senate Journal</w:t>
        </w:r>
        <w:r w:rsidRPr="004346D0">
          <w:rPr>
            <w:rStyle w:val="Hyperlink"/>
            <w:rFonts w:cs="Times New Roman"/>
          </w:rPr>
          <w:noBreakHyphen/>
          <w:t>page 27</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F378EE">
        <w:rPr>
          <w:rFonts w:cs="Times New Roman"/>
        </w:rPr>
        <w:t>Roll call Ayes</w:t>
      </w:r>
      <w:r>
        <w:rPr>
          <w:rFonts w:cs="Times New Roman"/>
        </w:rPr>
        <w:noBreakHyphen/>
      </w:r>
      <w:r w:rsidRPr="00F378EE">
        <w:rPr>
          <w:rFonts w:cs="Times New Roman"/>
        </w:rPr>
        <w:t>42  Nays</w:t>
      </w:r>
      <w:r>
        <w:rPr>
          <w:rFonts w:cs="Times New Roman"/>
        </w:rPr>
        <w:noBreakHyphen/>
      </w:r>
      <w:r w:rsidRPr="00F378EE">
        <w:rPr>
          <w:rFonts w:cs="Times New Roman"/>
        </w:rPr>
        <w:t>0 (</w:t>
      </w:r>
      <w:hyperlink r:id="rId22" w:history="1">
        <w:r w:rsidRPr="004346D0">
          <w:rPr>
            <w:rStyle w:val="Hyperlink"/>
            <w:rFonts w:cs="Times New Roman"/>
          </w:rPr>
          <w:t>Senate Journal</w:t>
        </w:r>
        <w:r w:rsidRPr="004346D0">
          <w:rPr>
            <w:rStyle w:val="Hyperlink"/>
            <w:rFonts w:cs="Times New Roman"/>
          </w:rPr>
          <w:noBreakHyphen/>
          <w:t>page 27</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F378EE">
        <w:rPr>
          <w:rFonts w:cs="Times New Roman"/>
        </w:rPr>
        <w:t xml:space="preserve">Read third </w:t>
      </w:r>
      <w:r>
        <w:rPr>
          <w:rFonts w:cs="Times New Roman"/>
        </w:rPr>
        <w:t xml:space="preserve">time and returned to House with </w:t>
      </w:r>
      <w:r w:rsidRPr="00F378EE">
        <w:rPr>
          <w:rFonts w:cs="Times New Roman"/>
        </w:rPr>
        <w:t>amendments (</w:t>
      </w:r>
      <w:hyperlink r:id="rId23" w:history="1">
        <w:r w:rsidRPr="004346D0">
          <w:rPr>
            <w:rStyle w:val="Hyperlink"/>
            <w:rFonts w:cs="Times New Roman"/>
          </w:rPr>
          <w:t>Senate Journal</w:t>
        </w:r>
        <w:r w:rsidRPr="004346D0">
          <w:rPr>
            <w:rStyle w:val="Hyperlink"/>
            <w:rFonts w:cs="Times New Roman"/>
          </w:rPr>
          <w:noBreakHyphen/>
          <w:t>page 20</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378EE">
        <w:rPr>
          <w:rFonts w:cs="Times New Roman"/>
        </w:rPr>
        <w:t>Concurred in Senate amendment and enrolle</w:t>
      </w:r>
      <w:r>
        <w:rPr>
          <w:rFonts w:cs="Times New Roman"/>
        </w:rPr>
        <w:t xml:space="preserve">d </w:t>
      </w:r>
      <w:r w:rsidRPr="00F378EE">
        <w:rPr>
          <w:rFonts w:cs="Times New Roman"/>
        </w:rPr>
        <w:t>(</w:t>
      </w:r>
      <w:hyperlink r:id="rId24" w:history="1">
        <w:r w:rsidRPr="004346D0">
          <w:rPr>
            <w:rStyle w:val="Hyperlink"/>
            <w:rFonts w:cs="Times New Roman"/>
          </w:rPr>
          <w:t>House Journal</w:t>
        </w:r>
        <w:r w:rsidRPr="004346D0">
          <w:rPr>
            <w:rStyle w:val="Hyperlink"/>
            <w:rFonts w:cs="Times New Roman"/>
          </w:rPr>
          <w:noBreakHyphen/>
          <w:t>page 92</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378EE">
        <w:rPr>
          <w:rFonts w:cs="Times New Roman"/>
        </w:rPr>
        <w:t>Roll call Yeas</w:t>
      </w:r>
      <w:r>
        <w:rPr>
          <w:rFonts w:cs="Times New Roman"/>
        </w:rPr>
        <w:noBreakHyphen/>
      </w:r>
      <w:r w:rsidRPr="00F378EE">
        <w:rPr>
          <w:rFonts w:cs="Times New Roman"/>
        </w:rPr>
        <w:t>92  Nays</w:t>
      </w:r>
      <w:r>
        <w:rPr>
          <w:rFonts w:cs="Times New Roman"/>
        </w:rPr>
        <w:noBreakHyphen/>
      </w:r>
      <w:r w:rsidRPr="00F378EE">
        <w:rPr>
          <w:rFonts w:cs="Times New Roman"/>
        </w:rPr>
        <w:t>0 (</w:t>
      </w:r>
      <w:hyperlink r:id="rId25" w:history="1">
        <w:r w:rsidRPr="004346D0">
          <w:rPr>
            <w:rStyle w:val="Hyperlink"/>
            <w:rFonts w:cs="Times New Roman"/>
          </w:rPr>
          <w:t>House Journal</w:t>
        </w:r>
        <w:r w:rsidRPr="004346D0">
          <w:rPr>
            <w:rStyle w:val="Hyperlink"/>
            <w:rFonts w:cs="Times New Roman"/>
          </w:rPr>
          <w:noBreakHyphen/>
          <w:t>page 93</w:t>
        </w:r>
      </w:hyperlink>
      <w:r w:rsidRPr="00F378EE">
        <w:rPr>
          <w:rFonts w:cs="Times New Roman"/>
        </w:rPr>
        <w:t>)</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F378EE">
        <w:rPr>
          <w:rFonts w:cs="Times New Roman"/>
        </w:rPr>
        <w:t>Ratified R 250</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6/7/2016</w:t>
      </w:r>
      <w:r>
        <w:rPr>
          <w:rFonts w:cs="Times New Roman"/>
        </w:rPr>
        <w:tab/>
      </w:r>
      <w:r>
        <w:rPr>
          <w:rFonts w:cs="Times New Roman"/>
        </w:rPr>
        <w:tab/>
      </w:r>
      <w:r w:rsidRPr="00F378EE">
        <w:rPr>
          <w:rFonts w:cs="Times New Roman"/>
        </w:rPr>
        <w:t>Signed By Governor</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F378EE">
        <w:rPr>
          <w:rFonts w:cs="Times New Roman"/>
        </w:rPr>
        <w:t>Effective date 06/07/16</w:t>
      </w:r>
    </w:p>
    <w:p w:rsidR="00062A88" w:rsidRDefault="00062A88" w:rsidP="00062A88">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F378EE">
        <w:rPr>
          <w:rFonts w:cs="Times New Roman"/>
        </w:rPr>
        <w:t>Act No</w:t>
      </w:r>
      <w:r>
        <w:rPr>
          <w:rFonts w:cs="Times New Roman"/>
        </w:rPr>
        <w:t>. </w:t>
      </w:r>
      <w:r w:rsidRPr="00F378EE">
        <w:rPr>
          <w:rFonts w:cs="Times New Roman"/>
        </w:rPr>
        <w:t>251</w:t>
      </w:r>
    </w:p>
    <w:p w:rsidR="00062A88" w:rsidRDefault="00062A88" w:rsidP="00062A88">
      <w:pPr>
        <w:widowControl w:val="0"/>
        <w:tabs>
          <w:tab w:val="right" w:pos="1008"/>
          <w:tab w:val="left" w:pos="1152"/>
          <w:tab w:val="left" w:pos="1872"/>
          <w:tab w:val="left" w:pos="9187"/>
        </w:tabs>
        <w:ind w:left="2088" w:hanging="2088"/>
        <w:rPr>
          <w:rFonts w:cs="Times New Roman"/>
        </w:rPr>
      </w:pPr>
    </w:p>
    <w:p w:rsidR="006316F0" w:rsidRPr="006316F0" w:rsidRDefault="006316F0" w:rsidP="006316F0">
      <w:pPr>
        <w:widowControl w:val="0"/>
        <w:tabs>
          <w:tab w:val="right" w:pos="1008"/>
          <w:tab w:val="left" w:pos="1152"/>
          <w:tab w:val="left" w:pos="1872"/>
          <w:tab w:val="left" w:pos="9187"/>
        </w:tabs>
        <w:ind w:left="2088" w:hanging="2088"/>
        <w:rPr>
          <w:rFonts w:eastAsia="Times New Roman" w:cs="Times New Roman"/>
          <w:szCs w:val="20"/>
        </w:rPr>
      </w:pPr>
      <w:r w:rsidRPr="006316F0">
        <w:rPr>
          <w:rFonts w:eastAsia="Times New Roman" w:cs="Times New Roman"/>
          <w:szCs w:val="20"/>
        </w:rPr>
        <w:t xml:space="preserve">View the latest </w:t>
      </w:r>
      <w:hyperlink r:id="rId26" w:history="1">
        <w:r w:rsidRPr="006316F0">
          <w:rPr>
            <w:rFonts w:eastAsia="Times New Roman" w:cs="Times New Roman"/>
            <w:color w:val="0000FF" w:themeColor="hyperlink"/>
            <w:szCs w:val="20"/>
            <w:u w:val="single"/>
          </w:rPr>
          <w:t>legislative information</w:t>
        </w:r>
      </w:hyperlink>
      <w:r w:rsidRPr="006316F0">
        <w:rPr>
          <w:rFonts w:eastAsia="Times New Roman" w:cs="Times New Roman"/>
          <w:szCs w:val="20"/>
        </w:rPr>
        <w:t xml:space="preserve"> at the website</w:t>
      </w:r>
    </w:p>
    <w:p w:rsidR="006316F0" w:rsidRPr="006316F0" w:rsidRDefault="006316F0" w:rsidP="006316F0">
      <w:pPr>
        <w:widowControl w:val="0"/>
        <w:tabs>
          <w:tab w:val="right" w:pos="1008"/>
          <w:tab w:val="left" w:pos="1152"/>
          <w:tab w:val="left" w:pos="1872"/>
          <w:tab w:val="left" w:pos="9187"/>
        </w:tabs>
        <w:ind w:left="2088" w:hanging="2088"/>
        <w:rPr>
          <w:rFonts w:eastAsia="Times New Roman" w:cs="Times New Roman"/>
          <w:szCs w:val="20"/>
        </w:rPr>
      </w:pPr>
    </w:p>
    <w:p w:rsidR="006316F0" w:rsidRPr="006316F0" w:rsidRDefault="006316F0" w:rsidP="006316F0">
      <w:pPr>
        <w:widowControl w:val="0"/>
        <w:tabs>
          <w:tab w:val="right" w:pos="1008"/>
          <w:tab w:val="left" w:pos="1152"/>
          <w:tab w:val="left" w:pos="1872"/>
          <w:tab w:val="left" w:pos="9187"/>
        </w:tabs>
        <w:ind w:left="2088" w:hanging="2088"/>
        <w:rPr>
          <w:rFonts w:eastAsia="Times New Roman" w:cs="Times New Roman"/>
          <w:szCs w:val="20"/>
        </w:rPr>
      </w:pP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16F0">
        <w:rPr>
          <w:rFonts w:eastAsia="Times New Roman" w:cs="Times New Roman"/>
          <w:b/>
          <w:szCs w:val="20"/>
        </w:rPr>
        <w:t>VERSIONS OF THIS BILL</w:t>
      </w:r>
    </w:p>
    <w:p w:rsidR="006316F0" w:rsidRPr="006316F0" w:rsidRDefault="006316F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16F0" w:rsidRPr="006316F0" w:rsidRDefault="004346D0" w:rsidP="00631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6316F0" w:rsidRPr="006316F0">
          <w:rPr>
            <w:rFonts w:eastAsia="Times New Roman" w:cs="Times New Roman"/>
            <w:color w:val="0000FF" w:themeColor="hyperlink"/>
            <w:szCs w:val="20"/>
            <w:u w:val="single"/>
          </w:rPr>
          <w:t>1/14/2015</w:t>
        </w:r>
      </w:hyperlink>
    </w:p>
    <w:p w:rsidR="006316F0" w:rsidRPr="006316F0" w:rsidRDefault="004346D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316F0" w:rsidRPr="006316F0">
          <w:rPr>
            <w:rFonts w:eastAsia="Times New Roman" w:cs="Times New Roman"/>
            <w:color w:val="0000FF" w:themeColor="hyperlink"/>
            <w:szCs w:val="20"/>
            <w:u w:val="single"/>
          </w:rPr>
          <w:t>4/23/2015</w:t>
        </w:r>
      </w:hyperlink>
    </w:p>
    <w:p w:rsidR="006316F0" w:rsidRPr="006316F0" w:rsidRDefault="004346D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316F0" w:rsidRPr="006316F0">
          <w:rPr>
            <w:rFonts w:eastAsia="Times New Roman" w:cs="Times New Roman"/>
            <w:color w:val="0000FF" w:themeColor="hyperlink"/>
            <w:szCs w:val="20"/>
            <w:u w:val="single"/>
          </w:rPr>
          <w:t>4/28/2015</w:t>
        </w:r>
      </w:hyperlink>
    </w:p>
    <w:p w:rsidR="006316F0" w:rsidRPr="006316F0" w:rsidRDefault="004346D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316F0" w:rsidRPr="006316F0">
          <w:rPr>
            <w:rFonts w:eastAsia="Times New Roman" w:cs="Times New Roman"/>
            <w:color w:val="0000FF" w:themeColor="hyperlink"/>
            <w:szCs w:val="20"/>
            <w:u w:val="single"/>
          </w:rPr>
          <w:t>4/28/2015-A</w:t>
        </w:r>
      </w:hyperlink>
    </w:p>
    <w:p w:rsidR="006316F0" w:rsidRPr="006316F0" w:rsidRDefault="004346D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316F0" w:rsidRPr="006316F0">
          <w:rPr>
            <w:rFonts w:eastAsia="Times New Roman" w:cs="Times New Roman"/>
            <w:color w:val="0000FF" w:themeColor="hyperlink"/>
            <w:szCs w:val="20"/>
            <w:u w:val="single"/>
          </w:rPr>
          <w:t>4/29/2015</w:t>
        </w:r>
      </w:hyperlink>
    </w:p>
    <w:p w:rsidR="006316F0" w:rsidRPr="006316F0" w:rsidRDefault="004346D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316F0" w:rsidRPr="006316F0">
          <w:rPr>
            <w:rFonts w:eastAsia="Times New Roman" w:cs="Times New Roman"/>
            <w:color w:val="0000FF" w:themeColor="hyperlink"/>
            <w:szCs w:val="20"/>
            <w:u w:val="single"/>
          </w:rPr>
          <w:t>3/23/2016</w:t>
        </w:r>
      </w:hyperlink>
    </w:p>
    <w:p w:rsidR="006316F0" w:rsidRPr="006316F0" w:rsidRDefault="004346D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316F0" w:rsidRPr="006316F0">
          <w:rPr>
            <w:rFonts w:eastAsia="Times New Roman" w:cs="Times New Roman"/>
            <w:color w:val="0000FF" w:themeColor="hyperlink"/>
            <w:szCs w:val="20"/>
            <w:u w:val="single"/>
          </w:rPr>
          <w:t>4/13/2016</w:t>
        </w:r>
      </w:hyperlink>
    </w:p>
    <w:p w:rsidR="006316F0" w:rsidRPr="006316F0" w:rsidRDefault="004346D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6316F0" w:rsidRPr="006316F0">
          <w:rPr>
            <w:rFonts w:eastAsia="Times New Roman" w:cs="Times New Roman"/>
            <w:color w:val="0000FF" w:themeColor="hyperlink"/>
            <w:szCs w:val="20"/>
            <w:u w:val="single"/>
          </w:rPr>
          <w:t>5/12/2016</w:t>
        </w:r>
      </w:hyperlink>
    </w:p>
    <w:p w:rsidR="006316F0" w:rsidRPr="006316F0" w:rsidRDefault="004346D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6316F0" w:rsidRPr="006316F0">
          <w:rPr>
            <w:rFonts w:eastAsia="Times New Roman" w:cs="Times New Roman"/>
            <w:color w:val="0000FF" w:themeColor="hyperlink"/>
            <w:szCs w:val="20"/>
            <w:u w:val="single"/>
          </w:rPr>
          <w:t>5/16/2016</w:t>
        </w:r>
      </w:hyperlink>
    </w:p>
    <w:p w:rsidR="006316F0" w:rsidRPr="006316F0" w:rsidRDefault="004346D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6316F0" w:rsidRPr="006316F0">
          <w:rPr>
            <w:rFonts w:eastAsia="Times New Roman" w:cs="Times New Roman"/>
            <w:color w:val="0000FF" w:themeColor="hyperlink"/>
            <w:szCs w:val="20"/>
            <w:u w:val="single"/>
          </w:rPr>
          <w:t>5/18/2016</w:t>
        </w:r>
      </w:hyperlink>
    </w:p>
    <w:p w:rsidR="006316F0" w:rsidRPr="006316F0" w:rsidRDefault="006316F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316F0" w:rsidRDefault="006316F0" w:rsidP="00631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316F0" w:rsidSect="006316F0">
          <w:pgSz w:w="12240" w:h="15840" w:code="1"/>
          <w:pgMar w:top="1080" w:right="1440" w:bottom="1080" w:left="1440" w:header="720" w:footer="720" w:gutter="0"/>
          <w:pgNumType w:start="1"/>
          <w:cols w:space="720"/>
          <w:noEndnote/>
          <w:docGrid w:linePitch="360"/>
        </w:sectPr>
      </w:pP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(A251, R250, H3313)</w:t>
      </w:r>
    </w:p>
    <w:p w:rsidR="008B3140" w:rsidRPr="008836A5"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B3140" w:rsidRPr="006316F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316F0">
        <w:rPr>
          <w:rFonts w:cs="Times New Roman"/>
          <w:b/>
          <w:color w:val="000000" w:themeColor="text1"/>
          <w:szCs w:val="36"/>
        </w:rPr>
        <w:t xml:space="preserve">AN ACT </w:t>
      </w:r>
      <w:bookmarkStart w:id="1" w:name="titleend"/>
      <w:bookmarkEnd w:id="1"/>
      <w:r w:rsidRPr="006316F0">
        <w:rPr>
          <w:rFonts w:cs="Times New Roman"/>
          <w:b/>
          <w:color w:val="000000" w:themeColor="text1"/>
          <w:u w:color="000000" w:themeColor="text1"/>
        </w:rPr>
        <w:t>TO AMEND THE CODE OF LAWS OF SOUTH CAROLINA, 1976, BY ADDING SECTION 12</w:t>
      </w:r>
      <w:r w:rsidRPr="006316F0">
        <w:rPr>
          <w:rFonts w:cs="Times New Roman"/>
          <w:b/>
          <w:color w:val="000000" w:themeColor="text1"/>
          <w:u w:color="000000" w:themeColor="text1"/>
        </w:rPr>
        <w:noBreakHyphen/>
        <w:t>43</w:t>
      </w:r>
      <w:r w:rsidRPr="006316F0">
        <w:rPr>
          <w:rFonts w:cs="Times New Roman"/>
          <w:b/>
          <w:color w:val="000000" w:themeColor="text1"/>
          <w:u w:color="000000" w:themeColor="text1"/>
        </w:rPr>
        <w:noBreakHyphen/>
        <w:t>222 SO AS TO PROVIDE THAT FOR PURPOSES OF CALCULATING ROLL</w:t>
      </w:r>
      <w:r w:rsidRPr="006316F0">
        <w:rPr>
          <w:rFonts w:cs="Times New Roman"/>
          <w:b/>
          <w:color w:val="000000" w:themeColor="text1"/>
          <w:u w:color="000000" w:themeColor="text1"/>
        </w:rPr>
        <w:noBreakHyphen/>
        <w:t>BACK TAX DUE ON A PARCEL OF REAL PROPERTY CHANGED FROM AGRICULTURAL TO COMMERCIAL OR RESIDENTIAL USE THE VALUE USED FOR PLATTED GREEN SPACE FOR CONSERVATION OR OPEN SPACE USE OF THE PARCEL, THE VALUE MUST BE BASED ON THE GREEN SPACE FOR CONSERVATION OR OPEN SPACE USE IF SUCH USE IS TEN PERCENT OR MORE OF THE PARCEL, AND TO PROVIDE OTHER QUALIFICATIONS; TO AMEND SECTION 12</w:t>
      </w:r>
      <w:r w:rsidRPr="006316F0">
        <w:rPr>
          <w:rFonts w:cs="Times New Roman"/>
          <w:b/>
          <w:color w:val="000000" w:themeColor="text1"/>
          <w:u w:color="000000" w:themeColor="text1"/>
        </w:rPr>
        <w:noBreakHyphen/>
        <w:t>43</w:t>
      </w:r>
      <w:r w:rsidRPr="006316F0">
        <w:rPr>
          <w:rFonts w:cs="Times New Roman"/>
          <w:b/>
          <w:color w:val="000000" w:themeColor="text1"/>
          <w:u w:color="000000" w:themeColor="text1"/>
        </w:rPr>
        <w:noBreakHyphen/>
        <w:t>220, AS AMENDED, RELATING TO CLASSES OF PROPERTY AND APPLICABLE ASSESSMENT RATIOS FOR PURPOSES OF IMPOSITION OF THE PROPERTY TAX, SO AS TO MAKE A CONFORMING AMENDMENT, TO PROVIDE THAT AFTER A PARCEL OF REAL PROPERTY HAS UNDERGONE AN ASSESSABLE TRANSFER OF INTEREST, DELINQUENT PROPERTY TAX AND PENALTIES ASSESSED BECAUSE THE PROPERTY WAS IMPROPERLY CLASSIFIED AS OWNER</w:t>
      </w:r>
      <w:r w:rsidRPr="006316F0">
        <w:rPr>
          <w:rFonts w:cs="Times New Roman"/>
          <w:b/>
          <w:color w:val="000000" w:themeColor="text1"/>
          <w:u w:color="000000" w:themeColor="text1"/>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 AND TO PROVIDE THAT ROLL</w:t>
      </w:r>
      <w:r w:rsidRPr="006316F0">
        <w:rPr>
          <w:rFonts w:cs="Times New Roman"/>
          <w:b/>
          <w:color w:val="000000" w:themeColor="text1"/>
          <w:u w:color="000000" w:themeColor="text1"/>
        </w:rPr>
        <w:noBreakHyphen/>
        <w:t>BACK TAXES MUST NOT BE APPLIED SOLELY BECAUSE THE OWNER OF THE PROPERTY FAILS TO APPLY FOR AN AGRICULTURAL ASSESSMENT SO LONG AS THE ACTUAL USE OF THE PROPERTY REMAINS AGRICULTURAL, AND TO PROVIDE THAT IF THE PROPERTY ASSESSMENT IS CHANGED FROM AGRICULTURAL OR THE PROPERTY IS ASSESSED ROLL</w:t>
      </w:r>
      <w:r w:rsidRPr="006316F0">
        <w:rPr>
          <w:rFonts w:cs="Times New Roman"/>
          <w:b/>
          <w:color w:val="000000" w:themeColor="text1"/>
          <w:u w:color="000000" w:themeColor="text1"/>
        </w:rPr>
        <w:noBreakHyphen/>
        <w:t>BACK TAXES, THE PROPERTY MUST CONTINUE TO BE ASSESSED AS AGRICULTURAL AND THE ROLL</w:t>
      </w:r>
      <w:r w:rsidRPr="006316F0">
        <w:rPr>
          <w:rFonts w:cs="Times New Roman"/>
          <w:b/>
          <w:color w:val="000000" w:themeColor="text1"/>
          <w:u w:color="000000" w:themeColor="text1"/>
        </w:rPr>
        <w:noBreakHyphen/>
        <w:t>BACK TAXES MAY NOT BE APPLIED UNTIL THE FINAL APPEAL DATE; AND BY ADDING SECTION 12</w:t>
      </w:r>
      <w:r w:rsidRPr="006316F0">
        <w:rPr>
          <w:rFonts w:cs="Times New Roman"/>
          <w:b/>
          <w:color w:val="000000" w:themeColor="text1"/>
          <w:u w:color="000000" w:themeColor="text1"/>
        </w:rPr>
        <w:noBreakHyphen/>
        <w:t>43</w:t>
      </w:r>
      <w:r w:rsidRPr="006316F0">
        <w:rPr>
          <w:rFonts w:cs="Times New Roman"/>
          <w:b/>
          <w:color w:val="000000" w:themeColor="text1"/>
          <w:u w:color="000000" w:themeColor="text1"/>
        </w:rPr>
        <w:noBreakHyphen/>
        <w:t>370 SO AS TO AUTHORIZE A COUNTY TO ALLOW A TAXPAYER TO ELECT TO RECEIVE HIS PROPERTY TAX BILL AND RECEIPT IN ELECTRONIC FORM, AND TO PROVIDE ADMINISTRATIVE REQUIREMENTS.</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A89">
        <w:rPr>
          <w:rFonts w:cs="Times New Roman"/>
        </w:rPr>
        <w:t>Be it enacted by the General Assembly of the State of South Carolina:</w:t>
      </w: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3140" w:rsidRPr="00BE346F"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Roll</w:t>
      </w:r>
      <w:r>
        <w:rPr>
          <w:rFonts w:cs="Times New Roman"/>
          <w:b/>
        </w:rPr>
        <w:noBreakHyphen/>
        <w:t>back tax for open space</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SECTION</w:t>
      </w:r>
      <w:r w:rsidRPr="00CD7A89">
        <w:rPr>
          <w:rFonts w:cs="Times New Roman"/>
          <w:color w:val="000000" w:themeColor="text1"/>
          <w:u w:color="000000" w:themeColor="text1"/>
        </w:rPr>
        <w:tab/>
        <w:t>1.</w:t>
      </w:r>
      <w:r w:rsidRPr="00CD7A89">
        <w:rPr>
          <w:rFonts w:cs="Times New Roman"/>
          <w:color w:val="000000" w:themeColor="text1"/>
          <w:u w:color="000000" w:themeColor="text1"/>
        </w:rPr>
        <w:tab/>
        <w:t>Article 3, Chapter 43, Title 12 of the 1976 Code is amended by adding:</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t>“Section 12</w:t>
      </w:r>
      <w:r>
        <w:rPr>
          <w:rFonts w:cs="Times New Roman"/>
          <w:color w:val="000000" w:themeColor="text1"/>
          <w:u w:color="000000" w:themeColor="text1"/>
        </w:rPr>
        <w:noBreakHyphen/>
      </w:r>
      <w:r w:rsidRPr="00CD7A89">
        <w:rPr>
          <w:rFonts w:cs="Times New Roman"/>
          <w:color w:val="000000" w:themeColor="text1"/>
          <w:u w:color="000000" w:themeColor="text1"/>
        </w:rPr>
        <w:t>43</w:t>
      </w:r>
      <w:r>
        <w:rPr>
          <w:rFonts w:cs="Times New Roman"/>
          <w:color w:val="000000" w:themeColor="text1"/>
          <w:u w:color="000000" w:themeColor="text1"/>
        </w:rPr>
        <w:noBreakHyphen/>
      </w:r>
      <w:r w:rsidRPr="00CD7A89">
        <w:rPr>
          <w:rFonts w:cs="Times New Roman"/>
          <w:color w:val="000000" w:themeColor="text1"/>
          <w:u w:color="000000" w:themeColor="text1"/>
        </w:rPr>
        <w:t>222.</w:t>
      </w:r>
      <w:r w:rsidRPr="00CD7A89">
        <w:rPr>
          <w:rFonts w:cs="Times New Roman"/>
          <w:color w:val="000000" w:themeColor="text1"/>
          <w:u w:color="000000" w:themeColor="text1"/>
        </w:rPr>
        <w:tab/>
        <w:t>(A)</w:t>
      </w:r>
      <w:r w:rsidRPr="00CD7A89">
        <w:rPr>
          <w:rFonts w:cs="Times New Roman"/>
          <w:color w:val="000000" w:themeColor="text1"/>
          <w:u w:color="000000" w:themeColor="text1"/>
        </w:rPr>
        <w:tab/>
        <w:t>Notwithstanding the provisions of Section 12</w:t>
      </w:r>
      <w:r>
        <w:rPr>
          <w:rFonts w:cs="Times New Roman"/>
          <w:color w:val="000000" w:themeColor="text1"/>
          <w:u w:color="000000" w:themeColor="text1"/>
        </w:rPr>
        <w:noBreakHyphen/>
      </w:r>
      <w:r w:rsidRPr="00CD7A89">
        <w:rPr>
          <w:rFonts w:cs="Times New Roman"/>
          <w:color w:val="000000" w:themeColor="text1"/>
          <w:u w:color="000000" w:themeColor="text1"/>
        </w:rPr>
        <w:t>43</w:t>
      </w:r>
      <w:r>
        <w:rPr>
          <w:rFonts w:cs="Times New Roman"/>
          <w:color w:val="000000" w:themeColor="text1"/>
          <w:u w:color="000000" w:themeColor="text1"/>
        </w:rPr>
        <w:noBreakHyphen/>
      </w:r>
      <w:r w:rsidRPr="00CD7A89">
        <w:rPr>
          <w:rFonts w:cs="Times New Roman"/>
          <w:color w:val="000000" w:themeColor="text1"/>
          <w:u w:color="000000" w:themeColor="text1"/>
        </w:rPr>
        <w:t>220(d)(4), the property tax value, as defined in Section 12</w:t>
      </w:r>
      <w:r>
        <w:rPr>
          <w:rFonts w:cs="Times New Roman"/>
          <w:color w:val="000000" w:themeColor="text1"/>
          <w:u w:color="000000" w:themeColor="text1"/>
        </w:rPr>
        <w:noBreakHyphen/>
      </w:r>
      <w:r w:rsidRPr="00CD7A89">
        <w:rPr>
          <w:rFonts w:cs="Times New Roman"/>
          <w:color w:val="000000" w:themeColor="text1"/>
          <w:u w:color="000000" w:themeColor="text1"/>
        </w:rPr>
        <w:t>37</w:t>
      </w:r>
      <w:r>
        <w:rPr>
          <w:rFonts w:cs="Times New Roman"/>
          <w:color w:val="000000" w:themeColor="text1"/>
          <w:u w:color="000000" w:themeColor="text1"/>
        </w:rPr>
        <w:noBreakHyphen/>
      </w:r>
      <w:r w:rsidRPr="00CD7A89">
        <w:rPr>
          <w:rFonts w:cs="Times New Roman"/>
          <w:color w:val="000000" w:themeColor="text1"/>
          <w:u w:color="000000" w:themeColor="text1"/>
        </w:rPr>
        <w:t xml:space="preserve">3135, of that portion of a parcel of real property changed from agricultural use for purposes of residential or commercial development that is designated on the recorded development plat of the parcel as </w:t>
      </w:r>
      <w:r w:rsidRPr="00BE346F">
        <w:rPr>
          <w:rFonts w:cs="Times New Roman"/>
          <w:color w:val="000000" w:themeColor="text1"/>
          <w:u w:color="000000" w:themeColor="text1"/>
        </w:rPr>
        <w:t>‘</w:t>
      </w:r>
      <w:r w:rsidRPr="00CD7A89">
        <w:rPr>
          <w:rFonts w:cs="Times New Roman"/>
          <w:color w:val="000000" w:themeColor="text1"/>
          <w:u w:color="000000" w:themeColor="text1"/>
        </w:rPr>
        <w:t>green space for conservation</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or </w:t>
      </w:r>
      <w:r w:rsidRPr="00BE346F">
        <w:rPr>
          <w:rFonts w:cs="Times New Roman"/>
          <w:color w:val="000000" w:themeColor="text1"/>
          <w:u w:color="000000" w:themeColor="text1"/>
        </w:rPr>
        <w:t>‘</w:t>
      </w:r>
      <w:r w:rsidRPr="00CD7A89">
        <w:rPr>
          <w:rFonts w:cs="Times New Roman"/>
          <w:color w:val="000000" w:themeColor="text1"/>
          <w:u w:color="000000" w:themeColor="text1"/>
        </w:rPr>
        <w:t>open space</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if it equals ten percent or more of the area included within the outermost boundaries of the residential or commercial development must be valued according to its new </w:t>
      </w:r>
      <w:r w:rsidRPr="00BE346F">
        <w:rPr>
          <w:rFonts w:cs="Times New Roman"/>
          <w:color w:val="000000" w:themeColor="text1"/>
          <w:u w:color="000000" w:themeColor="text1"/>
        </w:rPr>
        <w:t>‘</w:t>
      </w:r>
      <w:r w:rsidRPr="00CD7A89">
        <w:rPr>
          <w:rFonts w:cs="Times New Roman"/>
          <w:color w:val="000000" w:themeColor="text1"/>
          <w:u w:color="000000" w:themeColor="text1"/>
        </w:rPr>
        <w:t>green space for conservation</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or </w:t>
      </w:r>
      <w:r w:rsidRPr="00BE346F">
        <w:rPr>
          <w:rFonts w:cs="Times New Roman"/>
          <w:color w:val="000000" w:themeColor="text1"/>
          <w:u w:color="000000" w:themeColor="text1"/>
        </w:rPr>
        <w:t>‘</w:t>
      </w:r>
      <w:r w:rsidRPr="00CD7A89">
        <w:rPr>
          <w:rFonts w:cs="Times New Roman"/>
          <w:color w:val="000000" w:themeColor="text1"/>
          <w:u w:color="000000" w:themeColor="text1"/>
        </w:rPr>
        <w:t>open space</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use for all purposes in calculating roll</w:t>
      </w:r>
      <w:r>
        <w:rPr>
          <w:rFonts w:cs="Times New Roman"/>
          <w:color w:val="000000" w:themeColor="text1"/>
          <w:u w:color="000000" w:themeColor="text1"/>
        </w:rPr>
        <w:noBreakHyphen/>
      </w:r>
      <w:r w:rsidRPr="00CD7A89">
        <w:rPr>
          <w:rFonts w:cs="Times New Roman"/>
          <w:color w:val="000000" w:themeColor="text1"/>
          <w:u w:color="000000" w:themeColor="text1"/>
        </w:rPr>
        <w:t xml:space="preserve">back tax due on the parcel.  As used in this section only, and without regard to any other definitions for those terms in state law or regulations, </w:t>
      </w:r>
      <w:r w:rsidRPr="00BE346F">
        <w:rPr>
          <w:rFonts w:cs="Times New Roman"/>
          <w:color w:val="000000" w:themeColor="text1"/>
          <w:u w:color="000000" w:themeColor="text1"/>
        </w:rPr>
        <w:t>‘</w:t>
      </w:r>
      <w:r w:rsidRPr="00CD7A89">
        <w:rPr>
          <w:rFonts w:cs="Times New Roman"/>
          <w:color w:val="000000" w:themeColor="text1"/>
          <w:u w:color="000000" w:themeColor="text1"/>
        </w:rPr>
        <w:t>green space for conservation</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and </w:t>
      </w:r>
      <w:r w:rsidRPr="00BE346F">
        <w:rPr>
          <w:rFonts w:cs="Times New Roman"/>
          <w:color w:val="000000" w:themeColor="text1"/>
          <w:u w:color="000000" w:themeColor="text1"/>
        </w:rPr>
        <w:t>‘</w:t>
      </w:r>
      <w:r w:rsidRPr="00CD7A89">
        <w:rPr>
          <w:rFonts w:cs="Times New Roman"/>
          <w:color w:val="000000" w:themeColor="text1"/>
          <w:u w:color="000000" w:themeColor="text1"/>
        </w:rPr>
        <w:t>open space</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have the meaning provided for those terms by the United States Environmental Protection Agency.  The county assessor shall value the designated </w:t>
      </w:r>
      <w:r w:rsidRPr="00BE346F">
        <w:rPr>
          <w:rFonts w:cs="Times New Roman"/>
          <w:color w:val="000000" w:themeColor="text1"/>
          <w:u w:color="000000" w:themeColor="text1"/>
        </w:rPr>
        <w:t>‘</w:t>
      </w:r>
      <w:r w:rsidRPr="00CD7A89">
        <w:rPr>
          <w:rFonts w:cs="Times New Roman"/>
          <w:color w:val="000000" w:themeColor="text1"/>
          <w:u w:color="000000" w:themeColor="text1"/>
        </w:rPr>
        <w:t>green space for conservation</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or </w:t>
      </w:r>
      <w:r w:rsidRPr="00BE346F">
        <w:rPr>
          <w:rFonts w:cs="Times New Roman"/>
          <w:color w:val="000000" w:themeColor="text1"/>
          <w:u w:color="000000" w:themeColor="text1"/>
        </w:rPr>
        <w:t>‘</w:t>
      </w:r>
      <w:r w:rsidRPr="00CD7A89">
        <w:rPr>
          <w:rFonts w:cs="Times New Roman"/>
          <w:color w:val="000000" w:themeColor="text1"/>
          <w:u w:color="000000" w:themeColor="text1"/>
        </w:rPr>
        <w:t>open space</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in the manner that other property dedicated to that use is valued and that value must be used in the calculation of roll</w:t>
      </w:r>
      <w:r>
        <w:rPr>
          <w:rFonts w:cs="Times New Roman"/>
          <w:color w:val="000000" w:themeColor="text1"/>
          <w:u w:color="000000" w:themeColor="text1"/>
        </w:rPr>
        <w:noBreakHyphen/>
      </w:r>
      <w:r w:rsidRPr="00CD7A89">
        <w:rPr>
          <w:rFonts w:cs="Times New Roman"/>
          <w:color w:val="000000" w:themeColor="text1"/>
          <w:u w:color="000000" w:themeColor="text1"/>
        </w:rPr>
        <w:t>back tax on the parcel pursuant to Section 12</w:t>
      </w:r>
      <w:r>
        <w:rPr>
          <w:rFonts w:cs="Times New Roman"/>
          <w:color w:val="000000" w:themeColor="text1"/>
          <w:u w:color="000000" w:themeColor="text1"/>
        </w:rPr>
        <w:noBreakHyphen/>
      </w:r>
      <w:r w:rsidRPr="00CD7A89">
        <w:rPr>
          <w:rFonts w:cs="Times New Roman"/>
          <w:color w:val="000000" w:themeColor="text1"/>
          <w:u w:color="000000" w:themeColor="text1"/>
        </w:rPr>
        <w:t>43</w:t>
      </w:r>
      <w:r>
        <w:rPr>
          <w:rFonts w:cs="Times New Roman"/>
          <w:color w:val="000000" w:themeColor="text1"/>
          <w:u w:color="000000" w:themeColor="text1"/>
        </w:rPr>
        <w:noBreakHyphen/>
      </w:r>
      <w:r w:rsidRPr="00CD7A89">
        <w:rPr>
          <w:rFonts w:cs="Times New Roman"/>
          <w:color w:val="000000" w:themeColor="text1"/>
          <w:u w:color="000000" w:themeColor="text1"/>
        </w:rPr>
        <w:t xml:space="preserve">220(d)(4).  Appeals from the valuation of the </w:t>
      </w:r>
      <w:r w:rsidRPr="00BE346F">
        <w:rPr>
          <w:rFonts w:cs="Times New Roman"/>
          <w:color w:val="000000" w:themeColor="text1"/>
          <w:u w:color="000000" w:themeColor="text1"/>
        </w:rPr>
        <w:t>‘</w:t>
      </w:r>
      <w:r w:rsidRPr="00CD7A89">
        <w:rPr>
          <w:rFonts w:cs="Times New Roman"/>
          <w:color w:val="000000" w:themeColor="text1"/>
          <w:u w:color="000000" w:themeColor="text1"/>
        </w:rPr>
        <w:t>green space for conservation</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or </w:t>
      </w:r>
      <w:r w:rsidRPr="00BE346F">
        <w:rPr>
          <w:rFonts w:cs="Times New Roman"/>
          <w:color w:val="000000" w:themeColor="text1"/>
          <w:u w:color="000000" w:themeColor="text1"/>
        </w:rPr>
        <w:t>‘</w:t>
      </w:r>
      <w:r w:rsidRPr="00CD7A89">
        <w:rPr>
          <w:rFonts w:cs="Times New Roman"/>
          <w:color w:val="000000" w:themeColor="text1"/>
          <w:u w:color="000000" w:themeColor="text1"/>
        </w:rPr>
        <w:t>open space</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may be taken in the manner provided by law for appeals of value of real property appraised by county assessors.</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t>(B)</w:t>
      </w:r>
      <w:r w:rsidRPr="00CD7A89">
        <w:rPr>
          <w:rFonts w:cs="Times New Roman"/>
          <w:color w:val="000000" w:themeColor="text1"/>
          <w:u w:color="000000" w:themeColor="text1"/>
        </w:rPr>
        <w:tab/>
        <w:t xml:space="preserve">If the platted </w:t>
      </w:r>
      <w:r w:rsidRPr="00BE346F">
        <w:rPr>
          <w:rFonts w:cs="Times New Roman"/>
          <w:color w:val="000000" w:themeColor="text1"/>
          <w:u w:color="000000" w:themeColor="text1"/>
        </w:rPr>
        <w:t>‘</w:t>
      </w:r>
      <w:r w:rsidRPr="00CD7A89">
        <w:rPr>
          <w:rFonts w:cs="Times New Roman"/>
          <w:color w:val="000000" w:themeColor="text1"/>
          <w:u w:color="000000" w:themeColor="text1"/>
        </w:rPr>
        <w:t>green space for conservation</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or </w:t>
      </w:r>
      <w:r w:rsidRPr="00BE346F">
        <w:rPr>
          <w:rFonts w:cs="Times New Roman"/>
          <w:color w:val="000000" w:themeColor="text1"/>
          <w:u w:color="000000" w:themeColor="text1"/>
        </w:rPr>
        <w:t>‘</w:t>
      </w:r>
      <w:r w:rsidRPr="00CD7A89">
        <w:rPr>
          <w:rFonts w:cs="Times New Roman"/>
          <w:color w:val="000000" w:themeColor="text1"/>
          <w:u w:color="000000" w:themeColor="text1"/>
        </w:rPr>
        <w:t>open space</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 is converted to another use in five property tax years or less since the provisions of this section were applied to the property, then the owner of property at the time of its conversion is liable for the roll</w:t>
      </w:r>
      <w:r>
        <w:rPr>
          <w:rFonts w:cs="Times New Roman"/>
          <w:color w:val="000000" w:themeColor="text1"/>
          <w:u w:color="000000" w:themeColor="text1"/>
        </w:rPr>
        <w:noBreakHyphen/>
      </w:r>
      <w:r w:rsidRPr="00CD7A89">
        <w:rPr>
          <w:rFonts w:cs="Times New Roman"/>
          <w:color w:val="000000" w:themeColor="text1"/>
          <w:u w:color="000000" w:themeColor="text1"/>
        </w:rPr>
        <w:t>back taxes as if this section was not effective.  For purposes of this subsection, if the transfer of property causes the change in use, then the transferor is deemed to be the owner of the property at the time of the conversion, and the taxes must be paid at the time of the closing.</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snapToGrid w:val="0"/>
        </w:rPr>
        <w:tab/>
        <w:t>(C)</w:t>
      </w:r>
      <w:r w:rsidRPr="00CD7A89">
        <w:rPr>
          <w:rFonts w:cs="Times New Roman"/>
          <w:snapToGrid w:val="0"/>
        </w:rPr>
        <w:tab/>
        <w:t xml:space="preserve">This section only applies when the local jurisdiction requires the designation of </w:t>
      </w:r>
      <w:r w:rsidRPr="00BE346F">
        <w:rPr>
          <w:rFonts w:cs="Times New Roman"/>
          <w:snapToGrid w:val="0"/>
        </w:rPr>
        <w:t>‘</w:t>
      </w:r>
      <w:r w:rsidRPr="00CD7A89">
        <w:rPr>
          <w:rFonts w:cs="Times New Roman"/>
          <w:snapToGrid w:val="0"/>
        </w:rPr>
        <w:t>green space for conservation</w:t>
      </w:r>
      <w:r w:rsidRPr="00BE346F">
        <w:rPr>
          <w:rFonts w:cs="Times New Roman"/>
          <w:snapToGrid w:val="0"/>
        </w:rPr>
        <w:t>’</w:t>
      </w:r>
      <w:r w:rsidRPr="00CD7A89">
        <w:rPr>
          <w:rFonts w:cs="Times New Roman"/>
          <w:snapToGrid w:val="0"/>
        </w:rPr>
        <w:t xml:space="preserve"> or </w:t>
      </w:r>
      <w:r w:rsidRPr="00BE346F">
        <w:rPr>
          <w:rFonts w:cs="Times New Roman"/>
          <w:snapToGrid w:val="0"/>
        </w:rPr>
        <w:t>‘</w:t>
      </w:r>
      <w:r w:rsidRPr="00CD7A89">
        <w:rPr>
          <w:rFonts w:cs="Times New Roman"/>
          <w:snapToGrid w:val="0"/>
        </w:rPr>
        <w:t>open space</w:t>
      </w:r>
      <w:r w:rsidRPr="00BE346F">
        <w:rPr>
          <w:rFonts w:cs="Times New Roman"/>
          <w:snapToGrid w:val="0"/>
        </w:rPr>
        <w:t>’</w:t>
      </w:r>
      <w:r w:rsidRPr="00CD7A89">
        <w:rPr>
          <w:rFonts w:cs="Times New Roman"/>
          <w:snapToGrid w:val="0"/>
        </w:rPr>
        <w:t xml:space="preserve"> as a condition to develop residential or commercial property.”</w:t>
      </w: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BE346F" w:rsidRDefault="008B3140" w:rsidP="008B31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Conforming change</w:t>
      </w:r>
    </w:p>
    <w:p w:rsidR="008B3140" w:rsidRPr="00CD7A89" w:rsidRDefault="008B3140" w:rsidP="008B31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SECTION</w:t>
      </w:r>
      <w:r w:rsidRPr="00CD7A89">
        <w:rPr>
          <w:rFonts w:cs="Times New Roman"/>
          <w:color w:val="000000" w:themeColor="text1"/>
          <w:u w:color="000000" w:themeColor="text1"/>
        </w:rPr>
        <w:tab/>
        <w:t>2.</w:t>
      </w:r>
      <w:r w:rsidRPr="00CD7A89">
        <w:rPr>
          <w:rFonts w:cs="Times New Roman"/>
          <w:color w:val="000000" w:themeColor="text1"/>
          <w:u w:color="000000" w:themeColor="text1"/>
        </w:rPr>
        <w:tab/>
        <w:t>Section 12</w:t>
      </w:r>
      <w:r>
        <w:rPr>
          <w:rFonts w:cs="Times New Roman"/>
          <w:color w:val="000000" w:themeColor="text1"/>
          <w:u w:color="000000" w:themeColor="text1"/>
        </w:rPr>
        <w:noBreakHyphen/>
      </w:r>
      <w:r w:rsidRPr="00CD7A89">
        <w:rPr>
          <w:rFonts w:cs="Times New Roman"/>
          <w:color w:val="000000" w:themeColor="text1"/>
          <w:u w:color="000000" w:themeColor="text1"/>
        </w:rPr>
        <w:t>43</w:t>
      </w:r>
      <w:r>
        <w:rPr>
          <w:rFonts w:cs="Times New Roman"/>
          <w:color w:val="000000" w:themeColor="text1"/>
          <w:u w:color="000000" w:themeColor="text1"/>
        </w:rPr>
        <w:noBreakHyphen/>
      </w:r>
      <w:r w:rsidRPr="00CD7A89">
        <w:rPr>
          <w:rFonts w:cs="Times New Roman"/>
          <w:color w:val="000000" w:themeColor="text1"/>
          <w:u w:color="000000" w:themeColor="text1"/>
        </w:rPr>
        <w:t>220(d)(4) of the 1976 Code is amended to read:</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t>“(4)</w:t>
      </w:r>
      <w:r w:rsidRPr="00CD7A89">
        <w:rPr>
          <w:rFonts w:cs="Times New Roman"/>
          <w:color w:val="000000" w:themeColor="text1"/>
          <w:u w:color="000000" w:themeColor="text1"/>
        </w:rPr>
        <w:tab/>
        <w:t>Except as provided pursuant to Section 12</w:t>
      </w:r>
      <w:r>
        <w:rPr>
          <w:rFonts w:cs="Times New Roman"/>
          <w:color w:val="000000" w:themeColor="text1"/>
          <w:u w:color="000000" w:themeColor="text1"/>
        </w:rPr>
        <w:noBreakHyphen/>
      </w:r>
      <w:r w:rsidRPr="00CD7A89">
        <w:rPr>
          <w:rFonts w:cs="Times New Roman"/>
          <w:color w:val="000000" w:themeColor="text1"/>
          <w:u w:color="000000" w:themeColor="text1"/>
        </w:rPr>
        <w:t>43</w:t>
      </w:r>
      <w:r>
        <w:rPr>
          <w:rFonts w:cs="Times New Roman"/>
          <w:color w:val="000000" w:themeColor="text1"/>
          <w:u w:color="000000" w:themeColor="text1"/>
        </w:rPr>
        <w:noBreakHyphen/>
      </w:r>
      <w:r w:rsidRPr="00CD7A89">
        <w:rPr>
          <w:rFonts w:cs="Times New Roman"/>
          <w:color w:val="000000" w:themeColor="text1"/>
          <w:u w:color="000000" w:themeColor="text1"/>
        </w:rPr>
        <w:t>222, when real property which is in agricultural use and is being valued, assessed, and taxed under the provisions of this article, is applied to a use other than agricultural, it is subject to additional taxes, hereinafter referred to as roll</w:t>
      </w:r>
      <w:r>
        <w:rPr>
          <w:rFonts w:cs="Times New Roman"/>
          <w:color w:val="000000" w:themeColor="text1"/>
          <w:u w:color="000000" w:themeColor="text1"/>
        </w:rPr>
        <w:noBreakHyphen/>
      </w:r>
      <w:r w:rsidRPr="00CD7A89">
        <w:rPr>
          <w:rFonts w:cs="Times New Roman"/>
          <w:color w:val="000000" w:themeColor="text1"/>
          <w:u w:color="000000" w:themeColor="text1"/>
        </w:rPr>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Pr>
          <w:rFonts w:cs="Times New Roman"/>
          <w:color w:val="000000" w:themeColor="text1"/>
          <w:u w:color="000000" w:themeColor="text1"/>
        </w:rPr>
        <w:noBreakHyphen/>
      </w:r>
      <w:r w:rsidRPr="00CD7A89">
        <w:rPr>
          <w:rFonts w:cs="Times New Roman"/>
          <w:color w:val="000000" w:themeColor="text1"/>
          <w:u w:color="000000" w:themeColor="text1"/>
        </w:rPr>
        <w:t>back taxes for each of the five tax years immediately preceding in which the real property was valued, assessed, and taxed hereunder.  In determining the amounts of the roll</w:t>
      </w:r>
      <w:r>
        <w:rPr>
          <w:rFonts w:cs="Times New Roman"/>
          <w:color w:val="000000" w:themeColor="text1"/>
          <w:u w:color="000000" w:themeColor="text1"/>
        </w:rPr>
        <w:noBreakHyphen/>
      </w:r>
      <w:r w:rsidRPr="00CD7A89">
        <w:rPr>
          <w:rFonts w:cs="Times New Roman"/>
          <w:color w:val="000000" w:themeColor="text1"/>
          <w:u w:color="000000" w:themeColor="text1"/>
        </w:rPr>
        <w:t>back taxes chargeable on real property which has undergone a change in use, the assessor shall for each of the roll</w:t>
      </w:r>
      <w:r>
        <w:rPr>
          <w:rFonts w:cs="Times New Roman"/>
          <w:color w:val="000000" w:themeColor="text1"/>
          <w:u w:color="000000" w:themeColor="text1"/>
        </w:rPr>
        <w:noBreakHyphen/>
      </w:r>
      <w:r w:rsidRPr="00CD7A89">
        <w:rPr>
          <w:rFonts w:cs="Times New Roman"/>
          <w:color w:val="000000" w:themeColor="text1"/>
          <w:u w:color="000000" w:themeColor="text1"/>
        </w:rPr>
        <w:t xml:space="preserve">back tax years involved ascertain: </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r>
      <w:r w:rsidRPr="00CD7A89">
        <w:rPr>
          <w:rFonts w:cs="Times New Roman"/>
          <w:color w:val="000000" w:themeColor="text1"/>
          <w:u w:color="000000" w:themeColor="text1"/>
        </w:rPr>
        <w:tab/>
        <w:t>(A)</w:t>
      </w:r>
      <w:r w:rsidRPr="00CD7A89">
        <w:rPr>
          <w:rFonts w:cs="Times New Roman"/>
          <w:color w:val="000000" w:themeColor="text1"/>
          <w:u w:color="000000" w:themeColor="text1"/>
        </w:rPr>
        <w:tab/>
        <w:t xml:space="preserve">the fair market value without consideration of the standing timber of such real property under the valuation standard applicable to other real property in the same classification; </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r>
      <w:r w:rsidRPr="00CD7A89">
        <w:rPr>
          <w:rFonts w:cs="Times New Roman"/>
          <w:color w:val="000000" w:themeColor="text1"/>
          <w:u w:color="000000" w:themeColor="text1"/>
        </w:rPr>
        <w:tab/>
        <w:t>(B)</w:t>
      </w:r>
      <w:r w:rsidRPr="00CD7A89">
        <w:rPr>
          <w:rFonts w:cs="Times New Roman"/>
          <w:color w:val="000000" w:themeColor="text1"/>
          <w:u w:color="000000" w:themeColor="text1"/>
        </w:rPr>
        <w:tab/>
        <w:t xml:space="preserve">the amount of the real property assessment for the particular tax year by multiplying such fair market value by the appropriate assessment ratio provided in this article; </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r>
      <w:r w:rsidRPr="00CD7A89">
        <w:rPr>
          <w:rFonts w:cs="Times New Roman"/>
          <w:color w:val="000000" w:themeColor="text1"/>
          <w:u w:color="000000" w:themeColor="text1"/>
        </w:rPr>
        <w:tab/>
        <w:t>(C)</w:t>
      </w:r>
      <w:r w:rsidRPr="00CD7A89">
        <w:rPr>
          <w:rFonts w:cs="Times New Roman"/>
          <w:color w:val="000000" w:themeColor="text1"/>
          <w:u w:color="000000" w:themeColor="text1"/>
        </w:rPr>
        <w:tab/>
        <w:t xml:space="preserve">the amount of the additional assessment on the real property for the particular tax year by deducting the amount of the actual assessment on the real property for that year from the amount of the real property assessment determined under (B) of this section; </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r>
      <w:r w:rsidRPr="00CD7A89">
        <w:rPr>
          <w:rFonts w:cs="Times New Roman"/>
          <w:color w:val="000000" w:themeColor="text1"/>
          <w:u w:color="000000" w:themeColor="text1"/>
        </w:rPr>
        <w:tab/>
        <w:t>(D)</w:t>
      </w:r>
      <w:r w:rsidRPr="00CD7A89">
        <w:rPr>
          <w:rFonts w:cs="Times New Roman"/>
          <w:color w:val="000000" w:themeColor="text1"/>
          <w:u w:color="000000" w:themeColor="text1"/>
        </w:rPr>
        <w:tab/>
        <w:t>the amount of the roll</w:t>
      </w:r>
      <w:r>
        <w:rPr>
          <w:rFonts w:cs="Times New Roman"/>
          <w:color w:val="000000" w:themeColor="text1"/>
          <w:u w:color="000000" w:themeColor="text1"/>
        </w:rPr>
        <w:noBreakHyphen/>
      </w:r>
      <w:r w:rsidRPr="00CD7A89">
        <w:rPr>
          <w:rFonts w:cs="Times New Roman"/>
          <w:color w:val="000000" w:themeColor="text1"/>
          <w:u w:color="000000" w:themeColor="text1"/>
        </w:rPr>
        <w:t>back for that tax year by multiplying the amount of the additional assessment determined under (C) of this section by the property tax rate of the taxing district applicable for that tax year.”</w:t>
      </w: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BE346F"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Applicability of roll</w:t>
      </w:r>
      <w:r>
        <w:rPr>
          <w:rFonts w:cs="Times New Roman"/>
          <w:b/>
          <w:color w:val="000000" w:themeColor="text1"/>
          <w:u w:color="000000" w:themeColor="text1"/>
        </w:rPr>
        <w:noBreakHyphen/>
        <w:t>back tax for open space</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SECTION</w:t>
      </w:r>
      <w:r w:rsidRPr="00CD7A89">
        <w:rPr>
          <w:rFonts w:cs="Times New Roman"/>
          <w:color w:val="000000" w:themeColor="text1"/>
          <w:u w:color="000000" w:themeColor="text1"/>
        </w:rPr>
        <w:tab/>
        <w:t>3.</w:t>
      </w:r>
      <w:r w:rsidRPr="00CD7A89">
        <w:rPr>
          <w:rFonts w:cs="Times New Roman"/>
          <w:color w:val="000000" w:themeColor="text1"/>
          <w:u w:color="000000" w:themeColor="text1"/>
        </w:rPr>
        <w:tab/>
        <w:t>The provisions of SECTIONS 1 and 2 of this act apply for eligible real property changed from agricultural use valuation after 2015.</w:t>
      </w: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BE346F" w:rsidRDefault="008B3140" w:rsidP="008B31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Liability for property tax penalties</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SECTION</w:t>
      </w:r>
      <w:r w:rsidRPr="00CD7A89">
        <w:rPr>
          <w:rFonts w:cs="Times New Roman"/>
          <w:color w:val="000000" w:themeColor="text1"/>
          <w:u w:color="000000" w:themeColor="text1"/>
        </w:rPr>
        <w:tab/>
        <w:t>4.</w:t>
      </w:r>
      <w:r w:rsidRPr="00CD7A89">
        <w:rPr>
          <w:rFonts w:cs="Times New Roman"/>
          <w:color w:val="000000" w:themeColor="text1"/>
          <w:u w:color="000000" w:themeColor="text1"/>
        </w:rPr>
        <w:tab/>
        <w:t>Section 12</w:t>
      </w:r>
      <w:r>
        <w:rPr>
          <w:rFonts w:cs="Times New Roman"/>
          <w:color w:val="000000" w:themeColor="text1"/>
          <w:u w:color="000000" w:themeColor="text1"/>
        </w:rPr>
        <w:noBreakHyphen/>
      </w:r>
      <w:r w:rsidRPr="00CD7A89">
        <w:rPr>
          <w:rFonts w:cs="Times New Roman"/>
          <w:color w:val="000000" w:themeColor="text1"/>
          <w:u w:color="000000" w:themeColor="text1"/>
        </w:rPr>
        <w:t>43</w:t>
      </w:r>
      <w:r>
        <w:rPr>
          <w:rFonts w:cs="Times New Roman"/>
          <w:color w:val="000000" w:themeColor="text1"/>
          <w:u w:color="000000" w:themeColor="text1"/>
        </w:rPr>
        <w:noBreakHyphen/>
      </w:r>
      <w:r w:rsidRPr="00CD7A89">
        <w:rPr>
          <w:rFonts w:cs="Times New Roman"/>
          <w:color w:val="000000" w:themeColor="text1"/>
          <w:u w:color="000000" w:themeColor="text1"/>
        </w:rPr>
        <w:t>220(c)(2)(vii) of the 1976 Code is amended to read:</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t>“(vii)(A)</w:t>
      </w:r>
      <w:r w:rsidRPr="00CD7A89">
        <w:rPr>
          <w:rFonts w:cs="Times New Roman"/>
          <w:color w:val="000000" w:themeColor="text1"/>
          <w:u w:color="000000" w:themeColor="text1"/>
        </w:rPr>
        <w:tab/>
        <w:t>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Pr>
          <w:rFonts w:cs="Times New Roman"/>
          <w:color w:val="000000" w:themeColor="text1"/>
          <w:u w:color="000000" w:themeColor="text1"/>
        </w:rPr>
        <w:noBreakHyphen/>
      </w:r>
      <w:r w:rsidRPr="00CD7A89">
        <w:rPr>
          <w:rFonts w:cs="Times New Roman"/>
          <w:color w:val="000000" w:themeColor="text1"/>
          <w:u w:color="000000" w:themeColor="text1"/>
        </w:rPr>
        <w:t>half of one percent a month, but in no case less than thirty dollars nor more than the current year</w:t>
      </w:r>
      <w:r w:rsidRPr="00BE346F">
        <w:rPr>
          <w:rFonts w:cs="Times New Roman"/>
          <w:color w:val="000000" w:themeColor="text1"/>
          <w:u w:color="000000" w:themeColor="text1"/>
        </w:rPr>
        <w:t>’</w:t>
      </w:r>
      <w:r w:rsidRPr="00CD7A89">
        <w:rPr>
          <w:rFonts w:cs="Times New Roman"/>
          <w:color w:val="000000" w:themeColor="text1"/>
          <w:u w:color="000000" w:themeColor="text1"/>
        </w:rPr>
        <w:t>s taxes. This penalty and any interest are considered ad valorem taxes due on the property for purposes of collection and enforcement.</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r>
      <w:r w:rsidRPr="00CD7A89">
        <w:rPr>
          <w:rFonts w:cs="Times New Roman"/>
          <w:color w:val="000000" w:themeColor="text1"/>
          <w:u w:color="000000" w:themeColor="text1"/>
        </w:rPr>
        <w:tab/>
        <w:t>(B)</w:t>
      </w:r>
      <w:r w:rsidRPr="00CD7A89">
        <w:rPr>
          <w:rFonts w:cs="Times New Roman"/>
          <w:color w:val="000000" w:themeColor="text1"/>
          <w:u w:color="000000" w:themeColor="text1"/>
        </w:rPr>
        <w:tab/>
        <w:t>If property has undergone an assessable transfer of interest as provided pursuant to Section 12</w:t>
      </w:r>
      <w:r>
        <w:rPr>
          <w:rFonts w:cs="Times New Roman"/>
          <w:color w:val="000000" w:themeColor="text1"/>
          <w:u w:color="000000" w:themeColor="text1"/>
        </w:rPr>
        <w:noBreakHyphen/>
      </w:r>
      <w:r w:rsidRPr="00CD7A89">
        <w:rPr>
          <w:rFonts w:cs="Times New Roman"/>
          <w:color w:val="000000" w:themeColor="text1"/>
          <w:u w:color="000000" w:themeColor="text1"/>
        </w:rPr>
        <w:t>37</w:t>
      </w:r>
      <w:r>
        <w:rPr>
          <w:rFonts w:cs="Times New Roman"/>
          <w:color w:val="000000" w:themeColor="text1"/>
          <w:u w:color="000000" w:themeColor="text1"/>
        </w:rPr>
        <w:noBreakHyphen/>
      </w:r>
      <w:r w:rsidRPr="00CD7A89">
        <w:rPr>
          <w:rFonts w:cs="Times New Roman"/>
          <w:color w:val="000000" w:themeColor="text1"/>
          <w:u w:color="000000" w:themeColor="text1"/>
        </w:rPr>
        <w:t xml:space="preserve">3150 and the transferee is a bona fide purchaser for value without notice, penalties assessed pursuant to subsubitem </w:t>
      </w:r>
      <w:r>
        <w:rPr>
          <w:rFonts w:cs="Times New Roman"/>
          <w:color w:val="000000" w:themeColor="text1"/>
          <w:u w:color="000000" w:themeColor="text1"/>
        </w:rPr>
        <w:t>(vii)</w:t>
      </w:r>
      <w:r w:rsidRPr="00CD7A89">
        <w:rPr>
          <w:rFonts w:cs="Times New Roman"/>
          <w:color w:val="000000" w:themeColor="text1"/>
          <w:u w:color="000000" w:themeColor="text1"/>
        </w:rPr>
        <w:t xml:space="preserve">(A) and the additional property taxes and late payment penalties are solely the personal liability of the transferor and do not constitute a lien on and are not enforceable against the property in the hands of the transferee. </w:t>
      </w:r>
      <w:r w:rsidRPr="00CD7A89">
        <w:rPr>
          <w:rFonts w:cs="Times New Roman"/>
        </w:rPr>
        <w:t>The provisions of this sub</w:t>
      </w:r>
      <w:r>
        <w:rPr>
          <w:rFonts w:cs="Times New Roman"/>
        </w:rPr>
        <w:t>sub</w:t>
      </w:r>
      <w:r w:rsidRPr="00CD7A89">
        <w:rPr>
          <w:rFonts w:cs="Times New Roman"/>
        </w:rPr>
        <w:t xml:space="preserve">item </w:t>
      </w:r>
      <w:r>
        <w:rPr>
          <w:rFonts w:cs="Times New Roman"/>
        </w:rPr>
        <w:t xml:space="preserve">(vii)(B) </w:t>
      </w:r>
      <w:r w:rsidRPr="00CD7A89">
        <w:rPr>
          <w:rFonts w:cs="Times New Roman"/>
        </w:rPr>
        <w:t xml:space="preserve">making the additional taxes and penalties assessed pursuant to </w:t>
      </w:r>
      <w:r>
        <w:rPr>
          <w:rFonts w:cs="Times New Roman"/>
        </w:rPr>
        <w:t>sub</w:t>
      </w:r>
      <w:r w:rsidRPr="00CD7A89">
        <w:rPr>
          <w:rFonts w:cs="Times New Roman"/>
        </w:rPr>
        <w:t xml:space="preserve">subitem </w:t>
      </w:r>
      <w:r>
        <w:rPr>
          <w:rFonts w:cs="Times New Roman"/>
        </w:rPr>
        <w:t>(vii)</w:t>
      </w:r>
      <w:r w:rsidRPr="00CD7A89">
        <w:rPr>
          <w:rFonts w:cs="Times New Roman"/>
        </w:rPr>
        <w:t>(A)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r w:rsidRPr="00CD7A89">
        <w:rPr>
          <w:rFonts w:cs="Times New Roman"/>
          <w:color w:val="000000" w:themeColor="text1"/>
          <w:u w:color="000000" w:themeColor="text1"/>
        </w:rPr>
        <w:t>”</w:t>
      </w: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BE346F"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Electronic property tax bill and receipt</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D7A89">
        <w:rPr>
          <w:rFonts w:cs="Times New Roman"/>
          <w:snapToGrid w:val="0"/>
        </w:rPr>
        <w:t>SECTION</w:t>
      </w:r>
      <w:r w:rsidRPr="00CD7A89">
        <w:rPr>
          <w:rFonts w:cs="Times New Roman"/>
          <w:snapToGrid w:val="0"/>
        </w:rPr>
        <w:tab/>
        <w:t>5.</w:t>
      </w:r>
      <w:r w:rsidRPr="00CD7A89">
        <w:rPr>
          <w:rFonts w:cs="Times New Roman"/>
          <w:snapToGrid w:val="0"/>
        </w:rPr>
        <w:tab/>
        <w:t>Article 3, Chapter 43, Title 12 of the 1976 Code is amended by adding:</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D7A89">
        <w:rPr>
          <w:rFonts w:cs="Times New Roman"/>
          <w:snapToGrid w:val="0"/>
        </w:rPr>
        <w:tab/>
        <w:t>“Section 12</w:t>
      </w:r>
      <w:r>
        <w:rPr>
          <w:rFonts w:cs="Times New Roman"/>
          <w:snapToGrid w:val="0"/>
        </w:rPr>
        <w:noBreakHyphen/>
      </w:r>
      <w:r w:rsidRPr="00CD7A89">
        <w:rPr>
          <w:rFonts w:cs="Times New Roman"/>
          <w:snapToGrid w:val="0"/>
        </w:rPr>
        <w:t>43</w:t>
      </w:r>
      <w:r>
        <w:rPr>
          <w:rFonts w:cs="Times New Roman"/>
          <w:snapToGrid w:val="0"/>
        </w:rPr>
        <w:noBreakHyphen/>
      </w:r>
      <w:r w:rsidRPr="00CD7A89">
        <w:rPr>
          <w:rFonts w:cs="Times New Roman"/>
          <w:snapToGrid w:val="0"/>
        </w:rPr>
        <w:t>370.</w:t>
      </w:r>
      <w:r w:rsidRPr="00CD7A89">
        <w:rPr>
          <w:rFonts w:cs="Times New Roman"/>
          <w:snapToGrid w:val="0"/>
        </w:rPr>
        <w:tab/>
        <w:t>(A)</w:t>
      </w:r>
      <w:r w:rsidRPr="00CD7A89">
        <w:rPr>
          <w:rFonts w:cs="Times New Roman"/>
          <w:snapToGrid w:val="0"/>
        </w:rPr>
        <w:tab/>
        <w:t>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 maintain a record of the taxpayer</w:t>
      </w:r>
      <w:r w:rsidRPr="00BE346F">
        <w:rPr>
          <w:rFonts w:cs="Times New Roman"/>
          <w:snapToGrid w:val="0"/>
        </w:rPr>
        <w:t>’</w:t>
      </w:r>
      <w:r w:rsidRPr="00CD7A89">
        <w:rPr>
          <w:rFonts w:cs="Times New Roman"/>
          <w:snapToGrid w:val="0"/>
        </w:rPr>
        <w:t>s election to participate and retain the date of the electronic transmission of the property tax bill or receipt as proof they were sent. This section does not apply to delinquent notices.</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snapToGrid w:val="0"/>
        </w:rPr>
        <w:tab/>
        <w:t>(B)</w:t>
      </w:r>
      <w:r w:rsidRPr="00CD7A89">
        <w:rPr>
          <w:rFonts w:cs="Times New Roman"/>
          <w:snapToGrid w:val="0"/>
        </w:rPr>
        <w:tab/>
        <w:t>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w:t>
      </w:r>
      <w:r w:rsidRPr="00BE346F">
        <w:rPr>
          <w:rFonts w:cs="Times New Roman"/>
          <w:snapToGrid w:val="0"/>
        </w:rPr>
        <w:t>’</w:t>
      </w:r>
      <w:r w:rsidRPr="00CD7A89">
        <w:rPr>
          <w:rFonts w:cs="Times New Roman"/>
          <w:snapToGrid w:val="0"/>
        </w:rPr>
        <w:t>s website or on the property tax bill.”</w:t>
      </w: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BE346F"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Roll</w:t>
      </w:r>
      <w:r>
        <w:rPr>
          <w:rFonts w:cs="Times New Roman"/>
          <w:b/>
          <w:color w:val="000000" w:themeColor="text1"/>
          <w:u w:color="000000" w:themeColor="text1"/>
        </w:rPr>
        <w:noBreakHyphen/>
        <w:t>back tax applicability</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SECTION</w:t>
      </w:r>
      <w:r w:rsidRPr="00CD7A89">
        <w:rPr>
          <w:rFonts w:cs="Times New Roman"/>
          <w:color w:val="000000" w:themeColor="text1"/>
          <w:u w:color="000000" w:themeColor="text1"/>
        </w:rPr>
        <w:tab/>
        <w:t>6.</w:t>
      </w:r>
      <w:r w:rsidRPr="00CD7A89">
        <w:rPr>
          <w:rFonts w:cs="Times New Roman"/>
          <w:color w:val="000000" w:themeColor="text1"/>
          <w:u w:color="000000" w:themeColor="text1"/>
        </w:rPr>
        <w:tab/>
        <w:t>Section 12</w:t>
      </w:r>
      <w:r>
        <w:rPr>
          <w:rFonts w:cs="Times New Roman"/>
          <w:color w:val="000000" w:themeColor="text1"/>
          <w:u w:color="000000" w:themeColor="text1"/>
        </w:rPr>
        <w:noBreakHyphen/>
      </w:r>
      <w:r w:rsidRPr="00CD7A89">
        <w:rPr>
          <w:rFonts w:cs="Times New Roman"/>
          <w:color w:val="000000" w:themeColor="text1"/>
          <w:u w:color="000000" w:themeColor="text1"/>
        </w:rPr>
        <w:t>43</w:t>
      </w:r>
      <w:r>
        <w:rPr>
          <w:rFonts w:cs="Times New Roman"/>
          <w:color w:val="000000" w:themeColor="text1"/>
          <w:u w:color="000000" w:themeColor="text1"/>
        </w:rPr>
        <w:noBreakHyphen/>
      </w:r>
      <w:r w:rsidRPr="00CD7A89">
        <w:rPr>
          <w:rFonts w:cs="Times New Roman"/>
          <w:color w:val="000000" w:themeColor="text1"/>
          <w:u w:color="000000" w:themeColor="text1"/>
        </w:rPr>
        <w:t>220(d)(3) of the 1976 Code is amended to read:</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t>“(3)(A)</w:t>
      </w:r>
      <w:r w:rsidRPr="00CD7A89">
        <w:rPr>
          <w:rFonts w:cs="Times New Roman"/>
          <w:color w:val="000000" w:themeColor="text1"/>
          <w:u w:color="000000" w:themeColor="text1"/>
        </w:rPr>
        <w:tab/>
        <w:t>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Pr>
          <w:rFonts w:cs="Times New Roman"/>
          <w:color w:val="000000" w:themeColor="text1"/>
          <w:u w:color="000000" w:themeColor="text1"/>
        </w:rPr>
        <w:noBreakHyphen/>
      </w:r>
      <w:r w:rsidRPr="00CD7A89">
        <w:rPr>
          <w:rFonts w:cs="Times New Roman"/>
          <w:color w:val="000000" w:themeColor="text1"/>
          <w:u w:color="000000" w:themeColor="text1"/>
        </w:rPr>
        <w:t>half of one percent a month must be paid on the difference between the amount that was paid and the amount that should have been paid, but not less than thirty dollars nor more than the current year</w:t>
      </w:r>
      <w:r w:rsidRPr="00BE346F">
        <w:rPr>
          <w:rFonts w:cs="Times New Roman"/>
          <w:color w:val="000000" w:themeColor="text1"/>
          <w:u w:color="000000" w:themeColor="text1"/>
        </w:rPr>
        <w:t>’</w:t>
      </w:r>
      <w:r w:rsidRPr="00CD7A89">
        <w:rPr>
          <w:rFonts w:cs="Times New Roman"/>
          <w:color w:val="000000" w:themeColor="text1"/>
          <w:u w:color="000000" w:themeColor="text1"/>
        </w:rPr>
        <w:t xml:space="preserve">s taxes.  </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ab/>
      </w:r>
      <w:r w:rsidRPr="00CD7A89">
        <w:rPr>
          <w:rFonts w:cs="Times New Roman"/>
          <w:color w:val="000000" w:themeColor="text1"/>
          <w:u w:color="000000" w:themeColor="text1"/>
        </w:rPr>
        <w:tab/>
        <w:t>(B)</w:t>
      </w:r>
      <w:r w:rsidRPr="00CD7A89">
        <w:rPr>
          <w:rFonts w:cs="Times New Roman"/>
          <w:color w:val="000000" w:themeColor="text1"/>
          <w:u w:color="000000" w:themeColor="text1"/>
        </w:rPr>
        <w:tab/>
        <w:t>Roll</w:t>
      </w:r>
      <w:r>
        <w:rPr>
          <w:rFonts w:cs="Times New Roman"/>
          <w:color w:val="000000" w:themeColor="text1"/>
          <w:u w:color="000000" w:themeColor="text1"/>
        </w:rPr>
        <w:noBreakHyphen/>
      </w:r>
      <w:r w:rsidRPr="00CD7A89">
        <w:rPr>
          <w:rFonts w:cs="Times New Roman"/>
          <w:color w:val="000000" w:themeColor="text1"/>
          <w:u w:color="000000" w:themeColor="text1"/>
        </w:rPr>
        <w:t xml:space="preserve">back taxes authorized pursuant to </w:t>
      </w:r>
      <w:r>
        <w:rPr>
          <w:rFonts w:cs="Times New Roman"/>
          <w:color w:val="000000" w:themeColor="text1"/>
          <w:u w:color="000000" w:themeColor="text1"/>
        </w:rPr>
        <w:t>item</w:t>
      </w:r>
      <w:r w:rsidRPr="00CD7A89">
        <w:rPr>
          <w:rFonts w:cs="Times New Roman"/>
          <w:color w:val="000000" w:themeColor="text1"/>
          <w:u w:color="000000" w:themeColor="text1"/>
        </w:rPr>
        <w:t xml:space="preserve"> (d)(4) 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Pr>
          <w:rFonts w:cs="Times New Roman"/>
          <w:color w:val="000000" w:themeColor="text1"/>
          <w:u w:color="000000" w:themeColor="text1"/>
        </w:rPr>
        <w:noBreakHyphen/>
      </w:r>
      <w:r w:rsidRPr="00CD7A89">
        <w:rPr>
          <w:rFonts w:cs="Times New Roman"/>
          <w:color w:val="000000" w:themeColor="text1"/>
          <w:u w:color="000000" w:themeColor="text1"/>
        </w:rPr>
        <w:t>back taxes, the owner may appeal, and if an appeal is made, the property must continue to be assessed as agricultural and the roll</w:t>
      </w:r>
      <w:r>
        <w:rPr>
          <w:rFonts w:cs="Times New Roman"/>
          <w:color w:val="000000" w:themeColor="text1"/>
          <w:u w:color="000000" w:themeColor="text1"/>
        </w:rPr>
        <w:noBreakHyphen/>
      </w:r>
      <w:r w:rsidRPr="00CD7A89">
        <w:rPr>
          <w:rFonts w:cs="Times New Roman"/>
          <w:color w:val="000000" w:themeColor="text1"/>
          <w:u w:color="000000" w:themeColor="text1"/>
        </w:rPr>
        <w:t>back taxes may not be applied until the final appeal date.”</w:t>
      </w: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BE346F" w:rsidRDefault="008B3140" w:rsidP="008B31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Applicability of liability for property tax penalties</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A89">
        <w:rPr>
          <w:rFonts w:cs="Times New Roman"/>
          <w:color w:val="000000" w:themeColor="text1"/>
          <w:u w:color="000000" w:themeColor="text1"/>
        </w:rPr>
        <w:t>SECTION</w:t>
      </w:r>
      <w:r w:rsidRPr="00CD7A89">
        <w:rPr>
          <w:rFonts w:cs="Times New Roman"/>
          <w:color w:val="000000" w:themeColor="text1"/>
          <w:u w:color="000000" w:themeColor="text1"/>
        </w:rPr>
        <w:tab/>
        <w:t>7.</w:t>
      </w:r>
      <w:r w:rsidRPr="00CD7A89">
        <w:rPr>
          <w:rFonts w:cs="Times New Roman"/>
          <w:color w:val="000000" w:themeColor="text1"/>
          <w:u w:color="000000" w:themeColor="text1"/>
        </w:rPr>
        <w:tab/>
        <w:t>Section 12</w:t>
      </w:r>
      <w:r>
        <w:rPr>
          <w:rFonts w:cs="Times New Roman"/>
          <w:color w:val="000000" w:themeColor="text1"/>
          <w:u w:color="000000" w:themeColor="text1"/>
        </w:rPr>
        <w:noBreakHyphen/>
      </w:r>
      <w:r w:rsidRPr="00CD7A89">
        <w:rPr>
          <w:rFonts w:cs="Times New Roman"/>
          <w:color w:val="000000" w:themeColor="text1"/>
          <w:u w:color="000000" w:themeColor="text1"/>
        </w:rPr>
        <w:t>43</w:t>
      </w:r>
      <w:r>
        <w:rPr>
          <w:rFonts w:cs="Times New Roman"/>
          <w:color w:val="000000" w:themeColor="text1"/>
          <w:u w:color="000000" w:themeColor="text1"/>
        </w:rPr>
        <w:noBreakHyphen/>
      </w:r>
      <w:r w:rsidRPr="00CD7A89">
        <w:rPr>
          <w:rFonts w:cs="Times New Roman"/>
          <w:color w:val="000000" w:themeColor="text1"/>
          <w:u w:color="000000" w:themeColor="text1"/>
        </w:rPr>
        <w:t>220(c)(2)(vii) of the 1976 Code, as amended by this act, applies prospectively and also retroactively to all property tax years open for the assessment of delinquent property taxes and penalties, including penalties assessed pursuant to Section 12</w:t>
      </w:r>
      <w:r>
        <w:rPr>
          <w:rFonts w:cs="Times New Roman"/>
          <w:color w:val="000000" w:themeColor="text1"/>
          <w:u w:color="000000" w:themeColor="text1"/>
        </w:rPr>
        <w:noBreakHyphen/>
      </w:r>
      <w:r w:rsidRPr="00CD7A89">
        <w:rPr>
          <w:rFonts w:cs="Times New Roman"/>
          <w:color w:val="000000" w:themeColor="text1"/>
          <w:u w:color="000000" w:themeColor="text1"/>
        </w:rPr>
        <w:t>43</w:t>
      </w:r>
      <w:r>
        <w:rPr>
          <w:rFonts w:cs="Times New Roman"/>
          <w:color w:val="000000" w:themeColor="text1"/>
          <w:u w:color="000000" w:themeColor="text1"/>
        </w:rPr>
        <w:noBreakHyphen/>
      </w:r>
      <w:r w:rsidRPr="00CD7A89">
        <w:rPr>
          <w:rFonts w:cs="Times New Roman"/>
          <w:color w:val="000000" w:themeColor="text1"/>
          <w:u w:color="000000" w:themeColor="text1"/>
        </w:rPr>
        <w:t>220(c)(2)(vii) of the 1976 Code, as of that date.  No interest is due on any refunds issued pursuant to the retroactive provisions of this section.</w:t>
      </w: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BE346F"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B3140" w:rsidRPr="00CD7A89"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A89">
        <w:rPr>
          <w:rFonts w:cs="Times New Roman"/>
          <w:color w:val="000000" w:themeColor="text1"/>
          <w:u w:color="000000" w:themeColor="text1"/>
        </w:rPr>
        <w:t>SECTION</w:t>
      </w:r>
      <w:r w:rsidRPr="00CD7A89">
        <w:rPr>
          <w:rFonts w:cs="Times New Roman"/>
          <w:color w:val="000000" w:themeColor="text1"/>
          <w:u w:color="000000" w:themeColor="text1"/>
        </w:rPr>
        <w:tab/>
        <w:t>8.</w:t>
      </w:r>
      <w:r w:rsidRPr="00CD7A89">
        <w:rPr>
          <w:rFonts w:cs="Times New Roman"/>
          <w:color w:val="000000" w:themeColor="text1"/>
          <w:u w:color="000000" w:themeColor="text1"/>
        </w:rPr>
        <w:tab/>
        <w:t>This act takes effect upon approval by the Governor.</w:t>
      </w: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B3140" w:rsidRDefault="008B314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8B3140" w:rsidRDefault="008B3140" w:rsidP="008B3140">
      <w:pPr>
        <w:jc w:val="both"/>
        <w:rPr>
          <w:color w:val="000000" w:themeColor="text1"/>
        </w:rPr>
      </w:pPr>
    </w:p>
    <w:p w:rsidR="008B3140" w:rsidRDefault="008B3140" w:rsidP="008B3140">
      <w:pPr>
        <w:jc w:val="both"/>
        <w:rPr>
          <w:color w:val="000000" w:themeColor="text1"/>
        </w:rPr>
      </w:pPr>
      <w:r>
        <w:rPr>
          <w:color w:val="000000" w:themeColor="text1"/>
        </w:rPr>
        <w:t>Approved the 7</w:t>
      </w:r>
      <w:r w:rsidRPr="00A12D13">
        <w:rPr>
          <w:color w:val="000000" w:themeColor="text1"/>
          <w:vertAlign w:val="superscript"/>
        </w:rPr>
        <w:t>th</w:t>
      </w:r>
      <w:r>
        <w:rPr>
          <w:color w:val="000000" w:themeColor="text1"/>
        </w:rPr>
        <w:t xml:space="preserve"> day of June, 2016. </w:t>
      </w:r>
    </w:p>
    <w:p w:rsidR="008B3140" w:rsidRDefault="008B3140" w:rsidP="008B3140">
      <w:pPr>
        <w:jc w:val="center"/>
        <w:rPr>
          <w:color w:val="000000" w:themeColor="text1"/>
        </w:rPr>
      </w:pPr>
    </w:p>
    <w:p w:rsidR="008B3140" w:rsidRDefault="008B3140" w:rsidP="008B3140">
      <w:pPr>
        <w:jc w:val="center"/>
        <w:rPr>
          <w:color w:val="000000" w:themeColor="text1"/>
        </w:rPr>
      </w:pPr>
      <w:r>
        <w:rPr>
          <w:color w:val="000000" w:themeColor="text1"/>
        </w:rPr>
        <w:t>__________</w:t>
      </w:r>
    </w:p>
    <w:p w:rsidR="006316F0" w:rsidRPr="00626EFD" w:rsidRDefault="006316F0" w:rsidP="008B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316F0" w:rsidRPr="00626EFD" w:rsidSect="006316F0">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28C" w:rsidRDefault="006B428C" w:rsidP="007D5FAC">
      <w:r>
        <w:separator/>
      </w:r>
    </w:p>
  </w:endnote>
  <w:endnote w:type="continuationSeparator" w:id="0">
    <w:p w:rsidR="006B428C" w:rsidRDefault="006B428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6F0" w:rsidRPr="006316F0" w:rsidRDefault="006316F0" w:rsidP="006316F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B314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6F0" w:rsidRDefault="00631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28C" w:rsidRDefault="006B428C" w:rsidP="007D5FAC">
      <w:r>
        <w:separator/>
      </w:r>
    </w:p>
  </w:footnote>
  <w:footnote w:type="continuationSeparator" w:id="0">
    <w:p w:rsidR="006B428C" w:rsidRDefault="006B428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313"/>
    <w:docVar w:name="ActSecretary" w:val="Pair"/>
    <w:docVar w:name="ActSIdno" w:val="(159)  3313DG16"/>
    <w:docVar w:name="clipname" w:val="3313DG16"/>
    <w:docVar w:name="dvBillNumber" w:val="3313"/>
    <w:docVar w:name="dvBillNumberPrefix" w:val="H"/>
    <w:docVar w:name="dvOriginalBody" w:val="House"/>
    <w:docVar w:name="HOUSEACTFULLPATH" w:val="L:\COUNCIL\ACTS\3313DG16.DOCX"/>
    <w:docVar w:name="OrigHOUSEBillNo" w:val="3313"/>
    <w:docVar w:name="WhatActtype" w:val="AN ACT"/>
  </w:docVars>
  <w:rsids>
    <w:rsidRoot w:val="006B428C"/>
    <w:rsid w:val="00002DE0"/>
    <w:rsid w:val="00020349"/>
    <w:rsid w:val="00020977"/>
    <w:rsid w:val="00021B0B"/>
    <w:rsid w:val="0002674B"/>
    <w:rsid w:val="00040C05"/>
    <w:rsid w:val="0004579B"/>
    <w:rsid w:val="00051B4F"/>
    <w:rsid w:val="00055A26"/>
    <w:rsid w:val="00060E60"/>
    <w:rsid w:val="00062A88"/>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06DFE"/>
    <w:rsid w:val="00114917"/>
    <w:rsid w:val="001237B9"/>
    <w:rsid w:val="00131CE5"/>
    <w:rsid w:val="00135DDF"/>
    <w:rsid w:val="00136AA0"/>
    <w:rsid w:val="00141278"/>
    <w:rsid w:val="0014525A"/>
    <w:rsid w:val="001626DB"/>
    <w:rsid w:val="00170F30"/>
    <w:rsid w:val="00172771"/>
    <w:rsid w:val="001747A9"/>
    <w:rsid w:val="001750EA"/>
    <w:rsid w:val="001754BB"/>
    <w:rsid w:val="00180E61"/>
    <w:rsid w:val="0018353C"/>
    <w:rsid w:val="00195F4E"/>
    <w:rsid w:val="001A646B"/>
    <w:rsid w:val="001A75A0"/>
    <w:rsid w:val="001B201B"/>
    <w:rsid w:val="001B65B6"/>
    <w:rsid w:val="001B7775"/>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5908"/>
    <w:rsid w:val="0034356D"/>
    <w:rsid w:val="00353B03"/>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46D0"/>
    <w:rsid w:val="00435D03"/>
    <w:rsid w:val="004374A9"/>
    <w:rsid w:val="00444FEF"/>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EFD"/>
    <w:rsid w:val="00626F43"/>
    <w:rsid w:val="006316F0"/>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181D"/>
    <w:rsid w:val="006A3DFC"/>
    <w:rsid w:val="006A4214"/>
    <w:rsid w:val="006A5B40"/>
    <w:rsid w:val="006A65C8"/>
    <w:rsid w:val="006A6F1D"/>
    <w:rsid w:val="006B263A"/>
    <w:rsid w:val="006B428C"/>
    <w:rsid w:val="006B4FA6"/>
    <w:rsid w:val="006C2574"/>
    <w:rsid w:val="006C7535"/>
    <w:rsid w:val="006C7D00"/>
    <w:rsid w:val="006E038F"/>
    <w:rsid w:val="006F22C0"/>
    <w:rsid w:val="006F290C"/>
    <w:rsid w:val="006F3A26"/>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3A8D"/>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6C8F"/>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140"/>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11E7"/>
    <w:rsid w:val="009631DC"/>
    <w:rsid w:val="009634D4"/>
    <w:rsid w:val="00966B42"/>
    <w:rsid w:val="00971351"/>
    <w:rsid w:val="0097332E"/>
    <w:rsid w:val="00974FD7"/>
    <w:rsid w:val="00980444"/>
    <w:rsid w:val="00982E93"/>
    <w:rsid w:val="00993266"/>
    <w:rsid w:val="00996296"/>
    <w:rsid w:val="009B0FA5"/>
    <w:rsid w:val="009B1F99"/>
    <w:rsid w:val="009B4D62"/>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557"/>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46F"/>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1C1"/>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4B4C"/>
    <w:rsid w:val="00DC5BC6"/>
    <w:rsid w:val="00DC6CFE"/>
    <w:rsid w:val="00DD2595"/>
    <w:rsid w:val="00DD314B"/>
    <w:rsid w:val="00DD3B8D"/>
    <w:rsid w:val="00DD5167"/>
    <w:rsid w:val="00DD557D"/>
    <w:rsid w:val="00DF0E69"/>
    <w:rsid w:val="00DF2D2D"/>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26FA"/>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3353"/>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84E0C42-ACBA-4661-82A9-91C07116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316F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E3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46F"/>
    <w:rPr>
      <w:rFonts w:ascii="Segoe UI" w:hAnsi="Segoe UI" w:cs="Segoe UI"/>
      <w:sz w:val="18"/>
      <w:szCs w:val="18"/>
    </w:rPr>
  </w:style>
  <w:style w:type="table" w:styleId="TableGrid">
    <w:name w:val="Table Grid"/>
    <w:basedOn w:val="TableNormal"/>
    <w:uiPriority w:val="59"/>
    <w:rsid w:val="00D171C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316F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B77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4-15.docx" TargetMode="External"/><Relationship Id="rId13" Type="http://schemas.openxmlformats.org/officeDocument/2006/relationships/hyperlink" Target="file:///h:\HJ%20Archive\2015\04-30-15.docx" TargetMode="External"/><Relationship Id="rId18" Type="http://schemas.openxmlformats.org/officeDocument/2006/relationships/hyperlink" Target="file:///h:\SJ%20Archive\2016\04-13-16.docx" TargetMode="External"/><Relationship Id="rId26" Type="http://schemas.openxmlformats.org/officeDocument/2006/relationships/hyperlink" Target="http://www.scstatehouse.gov/billsearch.php?billnumbers=3313&amp;session=121&amp;summary=B"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Archive\2016\05-24-16.docx" TargetMode="External"/><Relationship Id="rId34" Type="http://schemas.openxmlformats.org/officeDocument/2006/relationships/hyperlink" Target="file:///p:\pprever\2015-16\3313_20160512.docx" TargetMode="External"/><Relationship Id="rId7" Type="http://schemas.openxmlformats.org/officeDocument/2006/relationships/hyperlink" Target="file:///h:\HJ%20Archive\2015\01-14-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6\04-13-16.docx" TargetMode="External"/><Relationship Id="rId25" Type="http://schemas.openxmlformats.org/officeDocument/2006/relationships/hyperlink" Target="file:///h:\HJ%20Archive\2016\06-01-16.docx" TargetMode="External"/><Relationship Id="rId33" Type="http://schemas.openxmlformats.org/officeDocument/2006/relationships/hyperlink" Target="file:///p:\pprever\2015-16\3313_20160413.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3-23-16.docx" TargetMode="External"/><Relationship Id="rId20" Type="http://schemas.openxmlformats.org/officeDocument/2006/relationships/hyperlink" Target="file:///h:\SJ%20Archive\2016\05-18-16.docx" TargetMode="External"/><Relationship Id="rId29" Type="http://schemas.openxmlformats.org/officeDocument/2006/relationships/hyperlink" Target="file:///p:\pprever\2015-16\3313_201504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9-15.docx" TargetMode="External"/><Relationship Id="rId24" Type="http://schemas.openxmlformats.org/officeDocument/2006/relationships/hyperlink" Target="file:///h:\HJ%20Archive\2016\06-01-16.docx" TargetMode="External"/><Relationship Id="rId32" Type="http://schemas.openxmlformats.org/officeDocument/2006/relationships/hyperlink" Target="file:///p:\pprever\2015-16\3313_20160323.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5\05-04-15.docx" TargetMode="External"/><Relationship Id="rId23" Type="http://schemas.openxmlformats.org/officeDocument/2006/relationships/hyperlink" Target="file:///h:\SJ%20Archive\2016\05-26-16.docx" TargetMode="External"/><Relationship Id="rId28" Type="http://schemas.openxmlformats.org/officeDocument/2006/relationships/hyperlink" Target="file:///p:\pprever\2015-16\3313_20150423.docx" TargetMode="External"/><Relationship Id="rId36" Type="http://schemas.openxmlformats.org/officeDocument/2006/relationships/hyperlink" Target="file:///p:\pprever\2015-16\3313_20160518.docx" TargetMode="External"/><Relationship Id="rId10" Type="http://schemas.openxmlformats.org/officeDocument/2006/relationships/hyperlink" Target="file:///h:\HJ%20Archive\2015\04-28-15.docx" TargetMode="External"/><Relationship Id="rId19" Type="http://schemas.openxmlformats.org/officeDocument/2006/relationships/hyperlink" Target="file:///h:\SJ%20Archive\2016\05-12-16.docx" TargetMode="External"/><Relationship Id="rId31" Type="http://schemas.openxmlformats.org/officeDocument/2006/relationships/hyperlink" Target="file:///p:\pprever\2015-16\3313_20150429.docx" TargetMode="Externa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SJ%20Archive\2015\05-04-15.docx" TargetMode="External"/><Relationship Id="rId22" Type="http://schemas.openxmlformats.org/officeDocument/2006/relationships/hyperlink" Target="file:///h:\SJ%20Archive\2016\05-24-16.docx" TargetMode="External"/><Relationship Id="rId27" Type="http://schemas.openxmlformats.org/officeDocument/2006/relationships/hyperlink" Target="file:///p:\pprever\2015-16\3313_20150114.docx" TargetMode="External"/><Relationship Id="rId30" Type="http://schemas.openxmlformats.org/officeDocument/2006/relationships/hyperlink" Target="file:///p:\pprever\2015-16\3313_20150428A.docx" TargetMode="External"/><Relationship Id="rId35" Type="http://schemas.openxmlformats.org/officeDocument/2006/relationships/hyperlink" Target="file:///p:\pprever\2015-16\3313_201605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9653-797A-44A9-98C4-85DD3F90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3313: Roll- back tax due on a parcel - South Carolina Legislature Online</dc:title>
  <dc:subject/>
  <dc:creator>sharonpair</dc:creator>
  <cp:keywords/>
  <dc:description/>
  <cp:lastModifiedBy>N Cumfer</cp:lastModifiedBy>
  <cp:revision>2</cp:revision>
  <cp:lastPrinted>2016-06-01T23:37:00Z</cp:lastPrinted>
  <dcterms:created xsi:type="dcterms:W3CDTF">2016-12-02T17:55:00Z</dcterms:created>
  <dcterms:modified xsi:type="dcterms:W3CDTF">2016-12-02T17:55:00Z</dcterms:modified>
</cp:coreProperties>
</file>