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02A" w:rsidRPr="005E402A" w:rsidRDefault="005E402A" w:rsidP="005E40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5E402A">
        <w:rPr>
          <w:rFonts w:eastAsia="Times New Roman" w:cs="Times New Roman"/>
          <w:b/>
          <w:szCs w:val="20"/>
        </w:rPr>
        <w:t>South Carolina General Assembly</w:t>
      </w:r>
    </w:p>
    <w:p w:rsidR="005E402A" w:rsidRPr="005E402A" w:rsidRDefault="005E402A" w:rsidP="005E40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E402A">
        <w:rPr>
          <w:rFonts w:eastAsia="Times New Roman" w:cs="Times New Roman"/>
          <w:szCs w:val="20"/>
        </w:rPr>
        <w:t>121st Session, 2015-2016</w:t>
      </w:r>
    </w:p>
    <w:p w:rsidR="005E402A" w:rsidRPr="005E402A" w:rsidRDefault="005E402A" w:rsidP="005E40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E402A" w:rsidRPr="005E402A" w:rsidRDefault="006A1196" w:rsidP="005E40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 R51, S375</w:t>
      </w:r>
    </w:p>
    <w:p w:rsidR="005E402A" w:rsidRPr="005E402A" w:rsidRDefault="005E402A" w:rsidP="005E40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E402A" w:rsidRPr="005E402A" w:rsidRDefault="005E402A" w:rsidP="005E40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E402A">
        <w:rPr>
          <w:rFonts w:eastAsia="Times New Roman" w:cs="Times New Roman"/>
          <w:b/>
          <w:szCs w:val="20"/>
        </w:rPr>
        <w:t>STATUS INFORMATION</w:t>
      </w:r>
    </w:p>
    <w:p w:rsidR="005E402A" w:rsidRPr="005E402A" w:rsidRDefault="005E402A" w:rsidP="005E40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E402A" w:rsidRPr="005E402A" w:rsidRDefault="005E402A" w:rsidP="005E40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E402A">
        <w:rPr>
          <w:rFonts w:eastAsia="Times New Roman" w:cs="Times New Roman"/>
          <w:szCs w:val="20"/>
        </w:rPr>
        <w:t>General Bill</w:t>
      </w:r>
    </w:p>
    <w:p w:rsidR="005E402A" w:rsidRPr="005E402A" w:rsidRDefault="005E402A" w:rsidP="005E40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E402A">
        <w:rPr>
          <w:rFonts w:eastAsia="Times New Roman" w:cs="Times New Roman"/>
          <w:szCs w:val="20"/>
        </w:rPr>
        <w:t>Sponsors: Senator Hayes</w:t>
      </w:r>
    </w:p>
    <w:p w:rsidR="005E402A" w:rsidRPr="005E402A" w:rsidRDefault="005E402A" w:rsidP="005E40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E402A">
        <w:rPr>
          <w:rFonts w:eastAsia="Times New Roman" w:cs="Times New Roman"/>
          <w:szCs w:val="20"/>
        </w:rPr>
        <w:t>Document Path: l:\council\bills\ggs\22711zw15.docx</w:t>
      </w:r>
    </w:p>
    <w:p w:rsidR="005E402A" w:rsidRPr="005E402A" w:rsidRDefault="005E402A" w:rsidP="005E40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0036" w:rsidRDefault="000A0036" w:rsidP="005E40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28, 2015</w:t>
      </w:r>
    </w:p>
    <w:p w:rsidR="000A0036" w:rsidRDefault="000A0036" w:rsidP="005E40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17, 2015</w:t>
      </w:r>
    </w:p>
    <w:p w:rsidR="000A0036" w:rsidRDefault="000A0036" w:rsidP="005E40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21, 2015</w:t>
      </w:r>
    </w:p>
    <w:p w:rsidR="000A0036" w:rsidRDefault="000A0036" w:rsidP="005E40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 2015, Signed</w:t>
      </w:r>
    </w:p>
    <w:p w:rsidR="000A0036" w:rsidRDefault="000A0036" w:rsidP="005E40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E402A" w:rsidRPr="005E402A" w:rsidRDefault="005E402A" w:rsidP="005E40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E402A">
        <w:rPr>
          <w:rFonts w:eastAsia="Times New Roman" w:cs="Times New Roman"/>
          <w:szCs w:val="20"/>
        </w:rPr>
        <w:t>Summary: Local government</w:t>
      </w:r>
    </w:p>
    <w:p w:rsidR="005E402A" w:rsidRPr="005E402A" w:rsidRDefault="005E402A" w:rsidP="005E40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E402A" w:rsidRPr="005E402A" w:rsidRDefault="005E402A" w:rsidP="005E40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E402A" w:rsidRPr="005E402A" w:rsidRDefault="005E402A" w:rsidP="005E402A">
      <w:pPr>
        <w:widowControl w:val="0"/>
        <w:tabs>
          <w:tab w:val="center" w:pos="590"/>
          <w:tab w:val="center" w:pos="1440"/>
          <w:tab w:val="left" w:pos="1872"/>
          <w:tab w:val="left" w:pos="9187"/>
        </w:tabs>
        <w:rPr>
          <w:rFonts w:eastAsia="Times New Roman" w:cs="Times New Roman"/>
          <w:szCs w:val="20"/>
        </w:rPr>
      </w:pPr>
      <w:r w:rsidRPr="005E402A">
        <w:rPr>
          <w:rFonts w:eastAsia="Times New Roman" w:cs="Times New Roman"/>
          <w:b/>
          <w:szCs w:val="20"/>
        </w:rPr>
        <w:t>HISTORY OF LEGISLATIVE ACTIONS</w:t>
      </w:r>
    </w:p>
    <w:p w:rsidR="005E402A" w:rsidRPr="005E402A" w:rsidRDefault="005E402A" w:rsidP="005E402A">
      <w:pPr>
        <w:widowControl w:val="0"/>
        <w:tabs>
          <w:tab w:val="center" w:pos="590"/>
          <w:tab w:val="center" w:pos="1440"/>
          <w:tab w:val="left" w:pos="1872"/>
          <w:tab w:val="left" w:pos="9187"/>
        </w:tabs>
        <w:rPr>
          <w:rFonts w:eastAsia="Times New Roman" w:cs="Times New Roman"/>
          <w:szCs w:val="20"/>
        </w:rPr>
      </w:pPr>
    </w:p>
    <w:p w:rsidR="005E402A" w:rsidRPr="005E402A" w:rsidRDefault="005E402A" w:rsidP="005E402A">
      <w:pPr>
        <w:widowControl w:val="0"/>
        <w:tabs>
          <w:tab w:val="center" w:pos="590"/>
          <w:tab w:val="center" w:pos="1440"/>
          <w:tab w:val="left" w:pos="1872"/>
          <w:tab w:val="left" w:pos="9187"/>
        </w:tabs>
        <w:rPr>
          <w:rFonts w:eastAsia="Times New Roman" w:cs="Times New Roman"/>
          <w:szCs w:val="20"/>
        </w:rPr>
      </w:pPr>
      <w:r w:rsidRPr="005E402A">
        <w:rPr>
          <w:rFonts w:eastAsia="Times New Roman" w:cs="Times New Roman"/>
          <w:szCs w:val="20"/>
          <w:u w:val="single"/>
        </w:rPr>
        <w:tab/>
        <w:t>Date</w:t>
      </w:r>
      <w:r w:rsidRPr="005E402A">
        <w:rPr>
          <w:rFonts w:eastAsia="Times New Roman" w:cs="Times New Roman"/>
          <w:szCs w:val="20"/>
          <w:u w:val="single"/>
        </w:rPr>
        <w:tab/>
        <w:t>Body</w:t>
      </w:r>
      <w:r w:rsidRPr="005E402A">
        <w:rPr>
          <w:rFonts w:eastAsia="Times New Roman" w:cs="Times New Roman"/>
          <w:szCs w:val="20"/>
          <w:u w:val="single"/>
        </w:rPr>
        <w:tab/>
        <w:t>Action Description with journal page number</w:t>
      </w:r>
      <w:r w:rsidRPr="005E402A">
        <w:rPr>
          <w:rFonts w:eastAsia="Times New Roman" w:cs="Times New Roman"/>
          <w:szCs w:val="20"/>
          <w:u w:val="single"/>
        </w:rPr>
        <w:tab/>
      </w:r>
    </w:p>
    <w:p w:rsidR="006A1196" w:rsidRDefault="006A1196" w:rsidP="006A1196">
      <w:pPr>
        <w:widowControl w:val="0"/>
        <w:tabs>
          <w:tab w:val="right" w:pos="1008"/>
          <w:tab w:val="left" w:pos="1152"/>
          <w:tab w:val="left" w:pos="1872"/>
          <w:tab w:val="left" w:pos="9187"/>
        </w:tabs>
        <w:ind w:left="2088" w:hanging="2088"/>
        <w:rPr>
          <w:rFonts w:cs="Times New Roman"/>
        </w:rPr>
      </w:pPr>
      <w:r>
        <w:rPr>
          <w:rFonts w:cs="Times New Roman"/>
        </w:rPr>
        <w:tab/>
        <w:t>1/28/2015</w:t>
      </w:r>
      <w:r>
        <w:rPr>
          <w:rFonts w:cs="Times New Roman"/>
        </w:rPr>
        <w:tab/>
        <w:t>Senate</w:t>
      </w:r>
      <w:r>
        <w:rPr>
          <w:rFonts w:cs="Times New Roman"/>
        </w:rPr>
        <w:tab/>
      </w:r>
      <w:r w:rsidRPr="00CA3C1E">
        <w:rPr>
          <w:rFonts w:cs="Times New Roman"/>
        </w:rPr>
        <w:t>Introduced and read first time (</w:t>
      </w:r>
      <w:hyperlink r:id="rId6" w:history="1">
        <w:r w:rsidRPr="006F3C3F">
          <w:rPr>
            <w:rStyle w:val="Hyperlink"/>
            <w:rFonts w:cs="Times New Roman"/>
          </w:rPr>
          <w:t>Senate Journal</w:t>
        </w:r>
        <w:r w:rsidRPr="006F3C3F">
          <w:rPr>
            <w:rStyle w:val="Hyperlink"/>
            <w:rFonts w:cs="Times New Roman"/>
          </w:rPr>
          <w:noBreakHyphen/>
          <w:t>page 12</w:t>
        </w:r>
      </w:hyperlink>
      <w:r w:rsidRPr="00CA3C1E">
        <w:rPr>
          <w:rFonts w:cs="Times New Roman"/>
        </w:rPr>
        <w:t>)</w:t>
      </w:r>
    </w:p>
    <w:p w:rsidR="006A1196" w:rsidRDefault="006A1196" w:rsidP="006A1196">
      <w:pPr>
        <w:widowControl w:val="0"/>
        <w:tabs>
          <w:tab w:val="right" w:pos="1008"/>
          <w:tab w:val="left" w:pos="1152"/>
          <w:tab w:val="left" w:pos="1872"/>
          <w:tab w:val="left" w:pos="9187"/>
        </w:tabs>
        <w:ind w:left="2088" w:hanging="2088"/>
        <w:rPr>
          <w:rFonts w:cs="Times New Roman"/>
        </w:rPr>
      </w:pPr>
      <w:r>
        <w:rPr>
          <w:rFonts w:cs="Times New Roman"/>
        </w:rPr>
        <w:tab/>
        <w:t>1/28/2015</w:t>
      </w:r>
      <w:r>
        <w:rPr>
          <w:rFonts w:cs="Times New Roman"/>
        </w:rPr>
        <w:tab/>
        <w:t>Senate</w:t>
      </w:r>
      <w:r>
        <w:rPr>
          <w:rFonts w:cs="Times New Roman"/>
        </w:rPr>
        <w:tab/>
      </w:r>
      <w:r w:rsidRPr="00CA3C1E">
        <w:rPr>
          <w:rFonts w:cs="Times New Roman"/>
        </w:rPr>
        <w:t>R</w:t>
      </w:r>
      <w:r>
        <w:rPr>
          <w:rFonts w:cs="Times New Roman"/>
        </w:rPr>
        <w:t xml:space="preserve">eferred to Committee on </w:t>
      </w:r>
      <w:r w:rsidRPr="00CA3C1E">
        <w:rPr>
          <w:rFonts w:cs="Times New Roman"/>
          <w:b/>
        </w:rPr>
        <w:t>Finance</w:t>
      </w:r>
      <w:r>
        <w:rPr>
          <w:rFonts w:cs="Times New Roman"/>
        </w:rPr>
        <w:t xml:space="preserve"> </w:t>
      </w:r>
      <w:r w:rsidRPr="00CA3C1E">
        <w:rPr>
          <w:rFonts w:cs="Times New Roman"/>
        </w:rPr>
        <w:t>(</w:t>
      </w:r>
      <w:hyperlink r:id="rId7" w:history="1">
        <w:r w:rsidRPr="006F3C3F">
          <w:rPr>
            <w:rStyle w:val="Hyperlink"/>
            <w:rFonts w:cs="Times New Roman"/>
          </w:rPr>
          <w:t>Senate Journal</w:t>
        </w:r>
        <w:r w:rsidRPr="006F3C3F">
          <w:rPr>
            <w:rStyle w:val="Hyperlink"/>
            <w:rFonts w:cs="Times New Roman"/>
          </w:rPr>
          <w:noBreakHyphen/>
          <w:t>page 12</w:t>
        </w:r>
      </w:hyperlink>
      <w:r w:rsidRPr="00CA3C1E">
        <w:rPr>
          <w:rFonts w:cs="Times New Roman"/>
        </w:rPr>
        <w:t>)</w:t>
      </w:r>
    </w:p>
    <w:p w:rsidR="006A1196" w:rsidRDefault="006A1196" w:rsidP="006A1196">
      <w:pPr>
        <w:widowControl w:val="0"/>
        <w:tabs>
          <w:tab w:val="right" w:pos="1008"/>
          <w:tab w:val="left" w:pos="1152"/>
          <w:tab w:val="left" w:pos="1872"/>
          <w:tab w:val="left" w:pos="9187"/>
        </w:tabs>
        <w:ind w:left="2088" w:hanging="2088"/>
        <w:rPr>
          <w:rFonts w:cs="Times New Roman"/>
        </w:rPr>
      </w:pPr>
      <w:r>
        <w:rPr>
          <w:rFonts w:cs="Times New Roman"/>
        </w:rPr>
        <w:tab/>
        <w:t>2/25/2015</w:t>
      </w:r>
      <w:r>
        <w:rPr>
          <w:rFonts w:cs="Times New Roman"/>
        </w:rPr>
        <w:tab/>
        <w:t>Senate</w:t>
      </w:r>
      <w:r>
        <w:rPr>
          <w:rFonts w:cs="Times New Roman"/>
        </w:rPr>
        <w:tab/>
      </w:r>
      <w:r w:rsidRPr="00CA3C1E">
        <w:rPr>
          <w:rFonts w:cs="Times New Roman"/>
        </w:rPr>
        <w:t>Comm</w:t>
      </w:r>
      <w:r>
        <w:rPr>
          <w:rFonts w:cs="Times New Roman"/>
        </w:rPr>
        <w:t xml:space="preserve">ittee report: Favorable </w:t>
      </w:r>
      <w:r w:rsidRPr="00CA3C1E">
        <w:rPr>
          <w:rFonts w:cs="Times New Roman"/>
          <w:b/>
        </w:rPr>
        <w:t>Finance</w:t>
      </w:r>
      <w:r>
        <w:rPr>
          <w:rFonts w:cs="Times New Roman"/>
        </w:rPr>
        <w:t xml:space="preserve"> </w:t>
      </w:r>
      <w:r w:rsidRPr="00CA3C1E">
        <w:rPr>
          <w:rFonts w:cs="Times New Roman"/>
        </w:rPr>
        <w:t>(</w:t>
      </w:r>
      <w:hyperlink r:id="rId8" w:history="1">
        <w:r w:rsidRPr="006F3C3F">
          <w:rPr>
            <w:rStyle w:val="Hyperlink"/>
            <w:rFonts w:cs="Times New Roman"/>
          </w:rPr>
          <w:t>Senate Journal</w:t>
        </w:r>
        <w:r w:rsidRPr="006F3C3F">
          <w:rPr>
            <w:rStyle w:val="Hyperlink"/>
            <w:rFonts w:cs="Times New Roman"/>
          </w:rPr>
          <w:noBreakHyphen/>
          <w:t>page 16</w:t>
        </w:r>
      </w:hyperlink>
      <w:r w:rsidRPr="00CA3C1E">
        <w:rPr>
          <w:rFonts w:cs="Times New Roman"/>
        </w:rPr>
        <w:t>)</w:t>
      </w:r>
    </w:p>
    <w:p w:rsidR="006A1196" w:rsidRDefault="006A1196" w:rsidP="006A1196">
      <w:pPr>
        <w:widowControl w:val="0"/>
        <w:tabs>
          <w:tab w:val="right" w:pos="1008"/>
          <w:tab w:val="left" w:pos="1152"/>
          <w:tab w:val="left" w:pos="1872"/>
          <w:tab w:val="left" w:pos="9187"/>
        </w:tabs>
        <w:ind w:left="2088" w:hanging="2088"/>
        <w:rPr>
          <w:rFonts w:cs="Times New Roman"/>
        </w:rPr>
      </w:pPr>
      <w:r>
        <w:rPr>
          <w:rFonts w:cs="Times New Roman"/>
        </w:rPr>
        <w:tab/>
        <w:t>2/26/2015</w:t>
      </w:r>
      <w:r>
        <w:rPr>
          <w:rFonts w:cs="Times New Roman"/>
        </w:rPr>
        <w:tab/>
      </w:r>
      <w:r>
        <w:rPr>
          <w:rFonts w:cs="Times New Roman"/>
        </w:rPr>
        <w:tab/>
      </w:r>
      <w:r w:rsidRPr="00CA3C1E">
        <w:rPr>
          <w:rFonts w:cs="Times New Roman"/>
        </w:rPr>
        <w:t>Scrivener's error corrected</w:t>
      </w:r>
    </w:p>
    <w:p w:rsidR="006A1196" w:rsidRDefault="006A1196" w:rsidP="006A1196">
      <w:pPr>
        <w:widowControl w:val="0"/>
        <w:tabs>
          <w:tab w:val="right" w:pos="1008"/>
          <w:tab w:val="left" w:pos="1152"/>
          <w:tab w:val="left" w:pos="1872"/>
          <w:tab w:val="left" w:pos="9187"/>
        </w:tabs>
        <w:ind w:left="2088" w:hanging="2088"/>
        <w:rPr>
          <w:rFonts w:cs="Times New Roman"/>
        </w:rPr>
      </w:pPr>
      <w:r>
        <w:rPr>
          <w:rFonts w:cs="Times New Roman"/>
        </w:rPr>
        <w:tab/>
        <w:t>3/4/2015</w:t>
      </w:r>
      <w:r>
        <w:rPr>
          <w:rFonts w:cs="Times New Roman"/>
        </w:rPr>
        <w:tab/>
        <w:t>Senate</w:t>
      </w:r>
      <w:r>
        <w:rPr>
          <w:rFonts w:cs="Times New Roman"/>
        </w:rPr>
        <w:tab/>
      </w:r>
      <w:r w:rsidRPr="00CA3C1E">
        <w:rPr>
          <w:rFonts w:cs="Times New Roman"/>
        </w:rPr>
        <w:t>Read second time (</w:t>
      </w:r>
      <w:hyperlink r:id="rId9" w:history="1">
        <w:r w:rsidRPr="006F3C3F">
          <w:rPr>
            <w:rStyle w:val="Hyperlink"/>
            <w:rFonts w:cs="Times New Roman"/>
          </w:rPr>
          <w:t>Senate Journal</w:t>
        </w:r>
        <w:r w:rsidRPr="006F3C3F">
          <w:rPr>
            <w:rStyle w:val="Hyperlink"/>
            <w:rFonts w:cs="Times New Roman"/>
          </w:rPr>
          <w:noBreakHyphen/>
          <w:t>page 18</w:t>
        </w:r>
      </w:hyperlink>
      <w:r w:rsidRPr="00CA3C1E">
        <w:rPr>
          <w:rFonts w:cs="Times New Roman"/>
        </w:rPr>
        <w:t>)</w:t>
      </w:r>
    </w:p>
    <w:p w:rsidR="006A1196" w:rsidRDefault="006A1196" w:rsidP="006A1196">
      <w:pPr>
        <w:widowControl w:val="0"/>
        <w:tabs>
          <w:tab w:val="right" w:pos="1008"/>
          <w:tab w:val="left" w:pos="1152"/>
          <w:tab w:val="left" w:pos="1872"/>
          <w:tab w:val="left" w:pos="9187"/>
        </w:tabs>
        <w:ind w:left="2088" w:hanging="2088"/>
        <w:rPr>
          <w:rFonts w:cs="Times New Roman"/>
        </w:rPr>
      </w:pPr>
      <w:r>
        <w:rPr>
          <w:rFonts w:cs="Times New Roman"/>
        </w:rPr>
        <w:tab/>
        <w:t>3/4/2015</w:t>
      </w:r>
      <w:r>
        <w:rPr>
          <w:rFonts w:cs="Times New Roman"/>
        </w:rPr>
        <w:tab/>
        <w:t>Senate</w:t>
      </w:r>
      <w:r>
        <w:rPr>
          <w:rFonts w:cs="Times New Roman"/>
        </w:rPr>
        <w:tab/>
      </w:r>
      <w:r w:rsidRPr="00CA3C1E">
        <w:rPr>
          <w:rFonts w:cs="Times New Roman"/>
        </w:rPr>
        <w:t>Roll call Ayes</w:t>
      </w:r>
      <w:r>
        <w:rPr>
          <w:rFonts w:cs="Times New Roman"/>
        </w:rPr>
        <w:noBreakHyphen/>
      </w:r>
      <w:r w:rsidRPr="00CA3C1E">
        <w:rPr>
          <w:rFonts w:cs="Times New Roman"/>
        </w:rPr>
        <w:t>41  Nays</w:t>
      </w:r>
      <w:r>
        <w:rPr>
          <w:rFonts w:cs="Times New Roman"/>
        </w:rPr>
        <w:noBreakHyphen/>
      </w:r>
      <w:r w:rsidRPr="00CA3C1E">
        <w:rPr>
          <w:rFonts w:cs="Times New Roman"/>
        </w:rPr>
        <w:t>0 (</w:t>
      </w:r>
      <w:hyperlink r:id="rId10" w:history="1">
        <w:r w:rsidRPr="006F3C3F">
          <w:rPr>
            <w:rStyle w:val="Hyperlink"/>
            <w:rFonts w:cs="Times New Roman"/>
          </w:rPr>
          <w:t>Senate Journal</w:t>
        </w:r>
        <w:r w:rsidRPr="006F3C3F">
          <w:rPr>
            <w:rStyle w:val="Hyperlink"/>
            <w:rFonts w:cs="Times New Roman"/>
          </w:rPr>
          <w:noBreakHyphen/>
          <w:t>page 18</w:t>
        </w:r>
      </w:hyperlink>
      <w:r w:rsidRPr="00CA3C1E">
        <w:rPr>
          <w:rFonts w:cs="Times New Roman"/>
        </w:rPr>
        <w:t>)</w:t>
      </w:r>
    </w:p>
    <w:p w:rsidR="006A1196" w:rsidRDefault="006A1196" w:rsidP="006A1196">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Senate</w:t>
      </w:r>
      <w:r>
        <w:rPr>
          <w:rFonts w:cs="Times New Roman"/>
        </w:rPr>
        <w:tab/>
      </w:r>
      <w:r w:rsidRPr="00CA3C1E">
        <w:rPr>
          <w:rFonts w:cs="Times New Roman"/>
        </w:rPr>
        <w:t>Re</w:t>
      </w:r>
      <w:r>
        <w:rPr>
          <w:rFonts w:cs="Times New Roman"/>
        </w:rPr>
        <w:t xml:space="preserve">ad third time and sent to House </w:t>
      </w:r>
      <w:r w:rsidRPr="00CA3C1E">
        <w:rPr>
          <w:rFonts w:cs="Times New Roman"/>
        </w:rPr>
        <w:t>(</w:t>
      </w:r>
      <w:hyperlink r:id="rId11" w:history="1">
        <w:r w:rsidRPr="006F3C3F">
          <w:rPr>
            <w:rStyle w:val="Hyperlink"/>
            <w:rFonts w:cs="Times New Roman"/>
          </w:rPr>
          <w:t>Senate Journal</w:t>
        </w:r>
        <w:r w:rsidRPr="006F3C3F">
          <w:rPr>
            <w:rStyle w:val="Hyperlink"/>
            <w:rFonts w:cs="Times New Roman"/>
          </w:rPr>
          <w:noBreakHyphen/>
          <w:t>page 30</w:t>
        </w:r>
      </w:hyperlink>
      <w:r w:rsidRPr="00CA3C1E">
        <w:rPr>
          <w:rFonts w:cs="Times New Roman"/>
        </w:rPr>
        <w:t>)</w:t>
      </w:r>
    </w:p>
    <w:p w:rsidR="006A1196" w:rsidRDefault="006A1196" w:rsidP="006A1196">
      <w:pPr>
        <w:widowControl w:val="0"/>
        <w:tabs>
          <w:tab w:val="right" w:pos="1008"/>
          <w:tab w:val="left" w:pos="1152"/>
          <w:tab w:val="left" w:pos="1872"/>
          <w:tab w:val="left" w:pos="9187"/>
        </w:tabs>
        <w:ind w:left="2088" w:hanging="2088"/>
        <w:rPr>
          <w:rFonts w:cs="Times New Roman"/>
        </w:rPr>
      </w:pPr>
      <w:r>
        <w:rPr>
          <w:rFonts w:cs="Times New Roman"/>
        </w:rPr>
        <w:tab/>
        <w:t>3/17/2015</w:t>
      </w:r>
      <w:r>
        <w:rPr>
          <w:rFonts w:cs="Times New Roman"/>
        </w:rPr>
        <w:tab/>
        <w:t>House</w:t>
      </w:r>
      <w:r>
        <w:rPr>
          <w:rFonts w:cs="Times New Roman"/>
        </w:rPr>
        <w:tab/>
      </w:r>
      <w:r w:rsidRPr="00CA3C1E">
        <w:rPr>
          <w:rFonts w:cs="Times New Roman"/>
        </w:rPr>
        <w:t>Introduced and read first time (</w:t>
      </w:r>
      <w:hyperlink r:id="rId12" w:history="1">
        <w:r w:rsidRPr="006F3C3F">
          <w:rPr>
            <w:rStyle w:val="Hyperlink"/>
            <w:rFonts w:cs="Times New Roman"/>
          </w:rPr>
          <w:t>House Journal</w:t>
        </w:r>
        <w:r w:rsidRPr="006F3C3F">
          <w:rPr>
            <w:rStyle w:val="Hyperlink"/>
            <w:rFonts w:cs="Times New Roman"/>
          </w:rPr>
          <w:noBreakHyphen/>
          <w:t>page 35</w:t>
        </w:r>
      </w:hyperlink>
      <w:r w:rsidRPr="00CA3C1E">
        <w:rPr>
          <w:rFonts w:cs="Times New Roman"/>
        </w:rPr>
        <w:t>)</w:t>
      </w:r>
    </w:p>
    <w:p w:rsidR="006A1196" w:rsidRDefault="006A1196" w:rsidP="006A1196">
      <w:pPr>
        <w:widowControl w:val="0"/>
        <w:tabs>
          <w:tab w:val="right" w:pos="1008"/>
          <w:tab w:val="left" w:pos="1152"/>
          <w:tab w:val="left" w:pos="1872"/>
          <w:tab w:val="left" w:pos="9187"/>
        </w:tabs>
        <w:ind w:left="2088" w:hanging="2088"/>
        <w:rPr>
          <w:rFonts w:cs="Times New Roman"/>
        </w:rPr>
      </w:pPr>
      <w:r>
        <w:rPr>
          <w:rFonts w:cs="Times New Roman"/>
        </w:rPr>
        <w:tab/>
        <w:t>3/17/2015</w:t>
      </w:r>
      <w:r>
        <w:rPr>
          <w:rFonts w:cs="Times New Roman"/>
        </w:rPr>
        <w:tab/>
        <w:t>House</w:t>
      </w:r>
      <w:r>
        <w:rPr>
          <w:rFonts w:cs="Times New Roman"/>
        </w:rPr>
        <w:tab/>
      </w:r>
      <w:r w:rsidRPr="00CA3C1E">
        <w:rPr>
          <w:rFonts w:cs="Times New Roman"/>
        </w:rPr>
        <w:t>Referred to C</w:t>
      </w:r>
      <w:r>
        <w:rPr>
          <w:rFonts w:cs="Times New Roman"/>
        </w:rPr>
        <w:t xml:space="preserve">ommittee on </w:t>
      </w:r>
      <w:r w:rsidRPr="00CA3C1E">
        <w:rPr>
          <w:rFonts w:cs="Times New Roman"/>
          <w:b/>
        </w:rPr>
        <w:t>Labor, Commerce and Industry</w:t>
      </w:r>
      <w:r w:rsidRPr="00CA3C1E">
        <w:rPr>
          <w:rFonts w:cs="Times New Roman"/>
        </w:rPr>
        <w:t xml:space="preserve"> (</w:t>
      </w:r>
      <w:hyperlink r:id="rId13" w:history="1">
        <w:r w:rsidRPr="006F3C3F">
          <w:rPr>
            <w:rStyle w:val="Hyperlink"/>
            <w:rFonts w:cs="Times New Roman"/>
          </w:rPr>
          <w:t>House Journal</w:t>
        </w:r>
        <w:r w:rsidRPr="006F3C3F">
          <w:rPr>
            <w:rStyle w:val="Hyperlink"/>
            <w:rFonts w:cs="Times New Roman"/>
          </w:rPr>
          <w:noBreakHyphen/>
          <w:t>page 35</w:t>
        </w:r>
      </w:hyperlink>
      <w:r w:rsidRPr="00CA3C1E">
        <w:rPr>
          <w:rFonts w:cs="Times New Roman"/>
        </w:rPr>
        <w:t>)</w:t>
      </w:r>
    </w:p>
    <w:p w:rsidR="006A1196" w:rsidRDefault="006A1196" w:rsidP="006A1196">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t>House</w:t>
      </w:r>
      <w:r>
        <w:rPr>
          <w:rFonts w:cs="Times New Roman"/>
        </w:rPr>
        <w:tab/>
      </w:r>
      <w:r w:rsidRPr="00CA3C1E">
        <w:rPr>
          <w:rFonts w:cs="Times New Roman"/>
        </w:rPr>
        <w:t>Committee report</w:t>
      </w:r>
      <w:r>
        <w:rPr>
          <w:rFonts w:cs="Times New Roman"/>
        </w:rPr>
        <w:t xml:space="preserve">: Favorable </w:t>
      </w:r>
      <w:r w:rsidRPr="00CA3C1E">
        <w:rPr>
          <w:rFonts w:cs="Times New Roman"/>
          <w:b/>
        </w:rPr>
        <w:t>Labor, Commerce and Industry</w:t>
      </w:r>
      <w:r w:rsidRPr="00CA3C1E">
        <w:rPr>
          <w:rFonts w:cs="Times New Roman"/>
        </w:rPr>
        <w:t xml:space="preserve"> (</w:t>
      </w:r>
      <w:hyperlink r:id="rId14" w:history="1">
        <w:r w:rsidRPr="006F3C3F">
          <w:rPr>
            <w:rStyle w:val="Hyperlink"/>
            <w:rFonts w:cs="Times New Roman"/>
          </w:rPr>
          <w:t>House Journal</w:t>
        </w:r>
        <w:r w:rsidRPr="006F3C3F">
          <w:rPr>
            <w:rStyle w:val="Hyperlink"/>
            <w:rFonts w:cs="Times New Roman"/>
          </w:rPr>
          <w:noBreakHyphen/>
          <w:t>page 38</w:t>
        </w:r>
      </w:hyperlink>
      <w:r w:rsidRPr="00CA3C1E">
        <w:rPr>
          <w:rFonts w:cs="Times New Roman"/>
        </w:rPr>
        <w:t>)</w:t>
      </w:r>
    </w:p>
    <w:p w:rsidR="006A1196" w:rsidRDefault="006A1196" w:rsidP="006A1196">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House</w:t>
      </w:r>
      <w:r>
        <w:rPr>
          <w:rFonts w:cs="Times New Roman"/>
        </w:rPr>
        <w:tab/>
      </w:r>
      <w:r w:rsidRPr="00CA3C1E">
        <w:rPr>
          <w:rFonts w:cs="Times New Roman"/>
        </w:rPr>
        <w:t>Read second time</w:t>
      </w:r>
    </w:p>
    <w:p w:rsidR="006A1196" w:rsidRDefault="006A1196" w:rsidP="006A1196">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House</w:t>
      </w:r>
      <w:r>
        <w:rPr>
          <w:rFonts w:cs="Times New Roman"/>
        </w:rPr>
        <w:tab/>
      </w:r>
      <w:r w:rsidRPr="00CA3C1E">
        <w:rPr>
          <w:rFonts w:cs="Times New Roman"/>
        </w:rPr>
        <w:t>Roll call Yeas</w:t>
      </w:r>
      <w:r>
        <w:rPr>
          <w:rFonts w:cs="Times New Roman"/>
        </w:rPr>
        <w:noBreakHyphen/>
      </w:r>
      <w:r w:rsidRPr="00CA3C1E">
        <w:rPr>
          <w:rFonts w:cs="Times New Roman"/>
        </w:rPr>
        <w:t>87  Nays</w:t>
      </w:r>
      <w:r>
        <w:rPr>
          <w:rFonts w:cs="Times New Roman"/>
        </w:rPr>
        <w:noBreakHyphen/>
      </w:r>
      <w:r w:rsidRPr="00CA3C1E">
        <w:rPr>
          <w:rFonts w:cs="Times New Roman"/>
        </w:rPr>
        <w:t>0</w:t>
      </w:r>
    </w:p>
    <w:p w:rsidR="006A1196" w:rsidRDefault="006A1196" w:rsidP="006A1196">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House</w:t>
      </w:r>
      <w:r>
        <w:rPr>
          <w:rFonts w:cs="Times New Roman"/>
        </w:rPr>
        <w:tab/>
      </w:r>
      <w:r w:rsidRPr="00CA3C1E">
        <w:rPr>
          <w:rFonts w:cs="Times New Roman"/>
        </w:rPr>
        <w:t>Read third time and enrolled (</w:t>
      </w:r>
      <w:hyperlink r:id="rId15" w:history="1">
        <w:r w:rsidRPr="006F3C3F">
          <w:rPr>
            <w:rStyle w:val="Hyperlink"/>
            <w:rFonts w:cs="Times New Roman"/>
          </w:rPr>
          <w:t>House Journal</w:t>
        </w:r>
        <w:r w:rsidRPr="006F3C3F">
          <w:rPr>
            <w:rStyle w:val="Hyperlink"/>
            <w:rFonts w:cs="Times New Roman"/>
          </w:rPr>
          <w:noBreakHyphen/>
          <w:t>page 14</w:t>
        </w:r>
      </w:hyperlink>
      <w:r w:rsidRPr="00CA3C1E">
        <w:rPr>
          <w:rFonts w:cs="Times New Roman"/>
        </w:rPr>
        <w:t>)</w:t>
      </w:r>
    </w:p>
    <w:p w:rsidR="006A1196" w:rsidRDefault="006A1196" w:rsidP="006A1196">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r>
      <w:r>
        <w:rPr>
          <w:rFonts w:cs="Times New Roman"/>
        </w:rPr>
        <w:tab/>
      </w:r>
      <w:r w:rsidRPr="00CA3C1E">
        <w:rPr>
          <w:rFonts w:cs="Times New Roman"/>
        </w:rPr>
        <w:t>Ratified R 51</w:t>
      </w:r>
    </w:p>
    <w:p w:rsidR="006A1196" w:rsidRDefault="006A1196" w:rsidP="006A1196">
      <w:pPr>
        <w:widowControl w:val="0"/>
        <w:tabs>
          <w:tab w:val="right" w:pos="1008"/>
          <w:tab w:val="left" w:pos="1152"/>
          <w:tab w:val="left" w:pos="1872"/>
          <w:tab w:val="left" w:pos="9187"/>
        </w:tabs>
        <w:ind w:left="2088" w:hanging="2088"/>
        <w:rPr>
          <w:rFonts w:cs="Times New Roman"/>
        </w:rPr>
      </w:pPr>
      <w:r>
        <w:rPr>
          <w:rFonts w:cs="Times New Roman"/>
        </w:rPr>
        <w:tab/>
        <w:t>6/1/2015</w:t>
      </w:r>
      <w:r>
        <w:rPr>
          <w:rFonts w:cs="Times New Roman"/>
        </w:rPr>
        <w:tab/>
      </w:r>
      <w:r>
        <w:rPr>
          <w:rFonts w:cs="Times New Roman"/>
        </w:rPr>
        <w:tab/>
      </w:r>
      <w:r w:rsidRPr="00CA3C1E">
        <w:rPr>
          <w:rFonts w:cs="Times New Roman"/>
        </w:rPr>
        <w:t>Signed By Governor</w:t>
      </w:r>
    </w:p>
    <w:p w:rsidR="006A1196" w:rsidRDefault="006A1196" w:rsidP="006A1196">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CA3C1E">
        <w:rPr>
          <w:rFonts w:cs="Times New Roman"/>
        </w:rPr>
        <w:t>Effective date 06/01/15</w:t>
      </w:r>
    </w:p>
    <w:p w:rsidR="006A1196" w:rsidRDefault="006A1196" w:rsidP="006A1196">
      <w:pPr>
        <w:widowControl w:val="0"/>
        <w:tabs>
          <w:tab w:val="right" w:pos="1008"/>
          <w:tab w:val="left" w:pos="1152"/>
          <w:tab w:val="left" w:pos="1872"/>
          <w:tab w:val="left" w:pos="9187"/>
        </w:tabs>
        <w:ind w:left="2088" w:hanging="2088"/>
        <w:rPr>
          <w:rFonts w:cs="Times New Roman"/>
        </w:rPr>
      </w:pPr>
      <w:r>
        <w:rPr>
          <w:rFonts w:cs="Times New Roman"/>
        </w:rPr>
        <w:tab/>
        <w:t>6/5/2015</w:t>
      </w:r>
      <w:r>
        <w:rPr>
          <w:rFonts w:cs="Times New Roman"/>
        </w:rPr>
        <w:tab/>
      </w:r>
      <w:r>
        <w:rPr>
          <w:rFonts w:cs="Times New Roman"/>
        </w:rPr>
        <w:tab/>
      </w:r>
      <w:r w:rsidRPr="00CA3C1E">
        <w:rPr>
          <w:rFonts w:cs="Times New Roman"/>
        </w:rPr>
        <w:t>Act No</w:t>
      </w:r>
      <w:r>
        <w:rPr>
          <w:rFonts w:cs="Times New Roman"/>
        </w:rPr>
        <w:t>. </w:t>
      </w:r>
      <w:r w:rsidRPr="00CA3C1E">
        <w:rPr>
          <w:rFonts w:cs="Times New Roman"/>
        </w:rPr>
        <w:t>28</w:t>
      </w:r>
    </w:p>
    <w:p w:rsidR="006A1196" w:rsidRDefault="006A1196" w:rsidP="006A1196">
      <w:pPr>
        <w:widowControl w:val="0"/>
        <w:tabs>
          <w:tab w:val="right" w:pos="1008"/>
          <w:tab w:val="left" w:pos="1152"/>
          <w:tab w:val="left" w:pos="1872"/>
          <w:tab w:val="left" w:pos="9187"/>
        </w:tabs>
        <w:ind w:left="2088" w:hanging="2088"/>
        <w:rPr>
          <w:rFonts w:cs="Times New Roman"/>
        </w:rPr>
      </w:pPr>
    </w:p>
    <w:p w:rsidR="005E402A" w:rsidRPr="005E402A" w:rsidRDefault="005E402A" w:rsidP="005E402A">
      <w:pPr>
        <w:widowControl w:val="0"/>
        <w:tabs>
          <w:tab w:val="right" w:pos="1008"/>
          <w:tab w:val="left" w:pos="1152"/>
          <w:tab w:val="left" w:pos="1872"/>
          <w:tab w:val="left" w:pos="9187"/>
        </w:tabs>
        <w:ind w:left="2088" w:hanging="2088"/>
        <w:rPr>
          <w:rFonts w:eastAsia="Times New Roman" w:cs="Times New Roman"/>
          <w:szCs w:val="20"/>
        </w:rPr>
      </w:pPr>
      <w:r w:rsidRPr="005E402A">
        <w:rPr>
          <w:rFonts w:eastAsia="Times New Roman" w:cs="Times New Roman"/>
          <w:szCs w:val="20"/>
        </w:rPr>
        <w:t xml:space="preserve">View the latest </w:t>
      </w:r>
      <w:hyperlink r:id="rId16" w:history="1">
        <w:r w:rsidRPr="005E402A">
          <w:rPr>
            <w:rFonts w:eastAsia="Times New Roman" w:cs="Times New Roman"/>
            <w:color w:val="0000FF" w:themeColor="hyperlink"/>
            <w:szCs w:val="20"/>
            <w:u w:val="single"/>
          </w:rPr>
          <w:t>legislative information</w:t>
        </w:r>
      </w:hyperlink>
      <w:r w:rsidRPr="005E402A">
        <w:rPr>
          <w:rFonts w:eastAsia="Times New Roman" w:cs="Times New Roman"/>
          <w:szCs w:val="20"/>
        </w:rPr>
        <w:t xml:space="preserve"> at the website</w:t>
      </w:r>
    </w:p>
    <w:p w:rsidR="005E402A" w:rsidRPr="005E402A" w:rsidRDefault="005E402A" w:rsidP="005E402A">
      <w:pPr>
        <w:widowControl w:val="0"/>
        <w:tabs>
          <w:tab w:val="right" w:pos="1008"/>
          <w:tab w:val="left" w:pos="1152"/>
          <w:tab w:val="left" w:pos="1872"/>
          <w:tab w:val="left" w:pos="9187"/>
        </w:tabs>
        <w:ind w:left="2088" w:hanging="2088"/>
        <w:rPr>
          <w:rFonts w:eastAsia="Times New Roman" w:cs="Times New Roman"/>
          <w:szCs w:val="20"/>
        </w:rPr>
      </w:pPr>
    </w:p>
    <w:p w:rsidR="005E402A" w:rsidRPr="005E402A" w:rsidRDefault="005E402A" w:rsidP="005E402A">
      <w:pPr>
        <w:widowControl w:val="0"/>
        <w:tabs>
          <w:tab w:val="right" w:pos="1008"/>
          <w:tab w:val="left" w:pos="1152"/>
          <w:tab w:val="left" w:pos="1872"/>
          <w:tab w:val="left" w:pos="9187"/>
        </w:tabs>
        <w:ind w:left="2088" w:hanging="2088"/>
        <w:rPr>
          <w:rFonts w:eastAsia="Times New Roman" w:cs="Times New Roman"/>
          <w:szCs w:val="20"/>
        </w:rPr>
      </w:pPr>
    </w:p>
    <w:p w:rsidR="005E402A" w:rsidRPr="005E402A" w:rsidRDefault="005E402A" w:rsidP="005E40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E402A">
        <w:rPr>
          <w:rFonts w:eastAsia="Times New Roman" w:cs="Times New Roman"/>
          <w:b/>
          <w:szCs w:val="20"/>
        </w:rPr>
        <w:t>VERSIONS OF THIS BILL</w:t>
      </w:r>
    </w:p>
    <w:p w:rsidR="005E402A" w:rsidRPr="005E402A" w:rsidRDefault="005E402A" w:rsidP="005E40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E402A" w:rsidRPr="005E402A" w:rsidRDefault="006F3C3F" w:rsidP="005E40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5E402A" w:rsidRPr="005E402A">
          <w:rPr>
            <w:rFonts w:eastAsia="Times New Roman" w:cs="Times New Roman"/>
            <w:color w:val="0000FF" w:themeColor="hyperlink"/>
            <w:szCs w:val="20"/>
            <w:u w:val="single"/>
          </w:rPr>
          <w:t>1/28/2015</w:t>
        </w:r>
      </w:hyperlink>
    </w:p>
    <w:p w:rsidR="005E402A" w:rsidRPr="005E402A" w:rsidRDefault="006F3C3F" w:rsidP="005E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5E402A" w:rsidRPr="005E402A">
          <w:rPr>
            <w:rFonts w:eastAsia="Times New Roman" w:cs="Times New Roman"/>
            <w:color w:val="0000FF" w:themeColor="hyperlink"/>
            <w:szCs w:val="20"/>
            <w:u w:val="single"/>
          </w:rPr>
          <w:t>2/25/2015</w:t>
        </w:r>
      </w:hyperlink>
    </w:p>
    <w:p w:rsidR="005E402A" w:rsidRPr="005E402A" w:rsidRDefault="006F3C3F" w:rsidP="005E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5E402A" w:rsidRPr="005E402A">
          <w:rPr>
            <w:rFonts w:eastAsia="Times New Roman" w:cs="Times New Roman"/>
            <w:color w:val="0000FF" w:themeColor="hyperlink"/>
            <w:szCs w:val="20"/>
            <w:u w:val="single"/>
          </w:rPr>
          <w:t>2/26/2015</w:t>
        </w:r>
      </w:hyperlink>
    </w:p>
    <w:p w:rsidR="005E402A" w:rsidRPr="005E402A" w:rsidRDefault="006F3C3F" w:rsidP="005E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5E402A" w:rsidRPr="005E402A">
          <w:rPr>
            <w:rFonts w:eastAsia="Times New Roman" w:cs="Times New Roman"/>
            <w:color w:val="0000FF" w:themeColor="hyperlink"/>
            <w:szCs w:val="20"/>
            <w:u w:val="single"/>
          </w:rPr>
          <w:t>5/14/2015</w:t>
        </w:r>
      </w:hyperlink>
    </w:p>
    <w:p w:rsidR="005E402A" w:rsidRPr="005E402A" w:rsidRDefault="005E402A" w:rsidP="005E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E402A" w:rsidRDefault="005E402A" w:rsidP="005E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E402A" w:rsidSect="005E402A">
          <w:pgSz w:w="12240" w:h="15840" w:code="1"/>
          <w:pgMar w:top="1080" w:right="1440" w:bottom="1080" w:left="1440" w:header="720" w:footer="720" w:gutter="0"/>
          <w:pgNumType w:start="1"/>
          <w:cols w:space="720"/>
          <w:noEndnote/>
          <w:docGrid w:linePitch="360"/>
        </w:sectPr>
      </w:pPr>
    </w:p>
    <w:p w:rsidR="00934BC2" w:rsidRDefault="00934BC2" w:rsidP="00934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 R51, S375)</w:t>
      </w:r>
    </w:p>
    <w:p w:rsidR="00934BC2" w:rsidRPr="008836A5" w:rsidRDefault="00934BC2" w:rsidP="00934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34BC2" w:rsidRPr="005E402A" w:rsidRDefault="00934BC2" w:rsidP="00934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E402A">
        <w:rPr>
          <w:rFonts w:cs="Times New Roman"/>
          <w:b/>
          <w:color w:val="000000" w:themeColor="text1"/>
          <w:szCs w:val="36"/>
        </w:rPr>
        <w:t xml:space="preserve">AN ACT </w:t>
      </w:r>
      <w:r w:rsidRPr="005E402A">
        <w:rPr>
          <w:rFonts w:cs="Times New Roman"/>
          <w:b/>
        </w:rPr>
        <w:t>TO AMEND SECTION 6</w:t>
      </w:r>
      <w:r w:rsidRPr="005E402A">
        <w:rPr>
          <w:rFonts w:cs="Times New Roman"/>
          <w:b/>
        </w:rPr>
        <w:noBreakHyphen/>
        <w:t>5</w:t>
      </w:r>
      <w:r w:rsidRPr="005E402A">
        <w:rPr>
          <w:rFonts w:cs="Times New Roman"/>
          <w:b/>
        </w:rPr>
        <w:noBreakHyphen/>
        <w:t>15, AS AMENDED, CODE OF LAWS OF SOUTH CAROLINA, 1976, RELATING TO SECURING DEPOSITS OF FUNDS BY LOCAL ENTITIES, SO AS TO ALLOW A LOCAL ENTITY TO DEPOSIT ALL OR A PORTION OF SURPLUS PUBLIC FUNDS IN ITS CONTROL OR POSSESSION IN ACCORDANCE WITH CERTAIN CONDITIONS.</w:t>
      </w:r>
    </w:p>
    <w:p w:rsidR="00934BC2" w:rsidRPr="00060F7E" w:rsidRDefault="00934BC2" w:rsidP="00934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34BC2" w:rsidRPr="00060F7E" w:rsidRDefault="00934BC2" w:rsidP="00934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0F7E">
        <w:rPr>
          <w:rFonts w:cs="Times New Roman"/>
        </w:rPr>
        <w:t>Be it enacted by the General Assembly of the State of South Carolina:</w:t>
      </w:r>
    </w:p>
    <w:p w:rsidR="00934BC2" w:rsidRPr="00060F7E" w:rsidRDefault="00934BC2" w:rsidP="00934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4BC2" w:rsidRPr="001A6E3A" w:rsidRDefault="00934BC2" w:rsidP="00934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Authorized depositories of local entities’ surplus funds</w:t>
      </w:r>
    </w:p>
    <w:p w:rsidR="00934BC2" w:rsidRDefault="00934BC2" w:rsidP="00934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4BC2" w:rsidRPr="00060F7E" w:rsidRDefault="00934BC2" w:rsidP="00934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0F7E">
        <w:rPr>
          <w:rFonts w:cs="Times New Roman"/>
        </w:rPr>
        <w:t>SECTION</w:t>
      </w:r>
      <w:r w:rsidRPr="00060F7E">
        <w:rPr>
          <w:rFonts w:cs="Times New Roman"/>
        </w:rPr>
        <w:tab/>
        <w:t>1.</w:t>
      </w:r>
      <w:r w:rsidRPr="00060F7E">
        <w:rPr>
          <w:rFonts w:cs="Times New Roman"/>
        </w:rPr>
        <w:tab/>
        <w:t>Section 6</w:t>
      </w:r>
      <w:r w:rsidRPr="00060F7E">
        <w:rPr>
          <w:rFonts w:cs="Times New Roman"/>
        </w:rPr>
        <w:noBreakHyphen/>
        <w:t>5</w:t>
      </w:r>
      <w:r w:rsidRPr="00060F7E">
        <w:rPr>
          <w:rFonts w:cs="Times New Roman"/>
        </w:rPr>
        <w:noBreakHyphen/>
        <w:t>15 of the 1976 Code, as last amended by Act 231 of 2008, is further amended to read:</w:t>
      </w:r>
    </w:p>
    <w:p w:rsidR="00934BC2" w:rsidRPr="00060F7E" w:rsidRDefault="00934BC2" w:rsidP="00934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4BC2" w:rsidRPr="00060F7E" w:rsidRDefault="00934BC2" w:rsidP="00934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0F7E">
        <w:rPr>
          <w:rFonts w:cs="Times New Roman"/>
        </w:rPr>
        <w:tab/>
        <w:t>“Section 6</w:t>
      </w:r>
      <w:r w:rsidRPr="00060F7E">
        <w:rPr>
          <w:rFonts w:cs="Times New Roman"/>
        </w:rPr>
        <w:noBreakHyphen/>
        <w:t>5</w:t>
      </w:r>
      <w:r w:rsidRPr="00060F7E">
        <w:rPr>
          <w:rFonts w:cs="Times New Roman"/>
        </w:rPr>
        <w:noBreakHyphen/>
        <w:t>15.</w:t>
      </w:r>
      <w:r w:rsidRPr="00060F7E">
        <w:rPr>
          <w:rFonts w:cs="Times New Roman"/>
        </w:rPr>
        <w:tab/>
        <w:t>(A)</w:t>
      </w:r>
      <w:r w:rsidRPr="00060F7E">
        <w:rPr>
          <w:rFonts w:cs="Times New Roman"/>
        </w:rPr>
        <w:tab/>
        <w:t>As used in this section, ‘local entity’ means the governing body of a municipality, county, school district, other local government unit or political subdivision, or a county treasurer.</w:t>
      </w:r>
    </w:p>
    <w:p w:rsidR="00934BC2" w:rsidRPr="00060F7E" w:rsidRDefault="00934BC2" w:rsidP="00934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0F7E">
        <w:rPr>
          <w:rFonts w:cs="Times New Roman"/>
        </w:rPr>
        <w:tab/>
        <w:t>(B)</w:t>
      </w:r>
      <w:r w:rsidRPr="00060F7E">
        <w:rPr>
          <w:rFonts w:cs="Times New Roman"/>
        </w:rPr>
        <w:tab/>
        <w:t>A qualified public depository, as defined in subsection (G), upon the deposit of funds by a local entity, must secure these deposits by deposit insurance, surety bonds, investment securities, or letters of credit to protect the local entity against loss in the event of insolvency or liquidation of the institution or for any other cause.</w:t>
      </w:r>
    </w:p>
    <w:p w:rsidR="00934BC2" w:rsidRPr="00060F7E" w:rsidRDefault="00934BC2" w:rsidP="00934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0F7E">
        <w:rPr>
          <w:rFonts w:cs="Times New Roman"/>
        </w:rPr>
        <w:tab/>
        <w:t>(C)</w:t>
      </w:r>
      <w:r w:rsidRPr="00060F7E">
        <w:rPr>
          <w:rFonts w:cs="Times New Roman"/>
        </w:rPr>
        <w:tab/>
        <w:t>To the extent that these deposits exceed the amount of insurance coverage provided by the Federal Deposit Insurance Corporation, the qualified public depository at the time of deposit must:</w:t>
      </w:r>
    </w:p>
    <w:p w:rsidR="00934BC2" w:rsidRPr="00060F7E" w:rsidRDefault="00934BC2" w:rsidP="00934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0F7E">
        <w:rPr>
          <w:rFonts w:cs="Times New Roman"/>
        </w:rPr>
        <w:tab/>
      </w:r>
      <w:r w:rsidRPr="00060F7E">
        <w:rPr>
          <w:rFonts w:cs="Times New Roman"/>
        </w:rPr>
        <w:tab/>
        <w:t>(1)</w:t>
      </w:r>
      <w:r w:rsidRPr="00060F7E">
        <w:rPr>
          <w:rFonts w:cs="Times New Roman"/>
        </w:rPr>
        <w:tab/>
        <w:t>furnish an indemnity bond in a responsible surety company authorized to do business in this State; or</w:t>
      </w:r>
    </w:p>
    <w:p w:rsidR="00934BC2" w:rsidRPr="00060F7E" w:rsidRDefault="00934BC2" w:rsidP="00934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0F7E">
        <w:rPr>
          <w:rFonts w:cs="Times New Roman"/>
        </w:rPr>
        <w:tab/>
      </w:r>
      <w:r w:rsidRPr="00060F7E">
        <w:rPr>
          <w:rFonts w:cs="Times New Roman"/>
        </w:rPr>
        <w:tab/>
        <w:t>(2)</w:t>
      </w:r>
      <w:r w:rsidRPr="00060F7E">
        <w:rPr>
          <w:rFonts w:cs="Times New Roman"/>
        </w:rPr>
        <w:tab/>
        <w:t>pledge as collateral:</w:t>
      </w:r>
    </w:p>
    <w:p w:rsidR="00934BC2" w:rsidRPr="00060F7E" w:rsidRDefault="00934BC2" w:rsidP="00934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0F7E">
        <w:rPr>
          <w:rFonts w:cs="Times New Roman"/>
        </w:rPr>
        <w:tab/>
      </w:r>
      <w:r w:rsidRPr="00060F7E">
        <w:rPr>
          <w:rFonts w:cs="Times New Roman"/>
        </w:rPr>
        <w:tab/>
      </w:r>
      <w:r w:rsidRPr="00060F7E">
        <w:rPr>
          <w:rFonts w:cs="Times New Roman"/>
        </w:rPr>
        <w:tab/>
        <w:t>(a)</w:t>
      </w:r>
      <w:r w:rsidRPr="00060F7E">
        <w:rPr>
          <w:rFonts w:cs="Times New Roman"/>
        </w:rPr>
        <w:tab/>
        <w:t>obligations of the United States;</w:t>
      </w:r>
    </w:p>
    <w:p w:rsidR="00934BC2" w:rsidRPr="00060F7E" w:rsidRDefault="00934BC2" w:rsidP="00934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0F7E">
        <w:rPr>
          <w:rFonts w:cs="Times New Roman"/>
        </w:rPr>
        <w:tab/>
      </w:r>
      <w:r w:rsidRPr="00060F7E">
        <w:rPr>
          <w:rFonts w:cs="Times New Roman"/>
        </w:rPr>
        <w:tab/>
      </w:r>
      <w:r w:rsidRPr="00060F7E">
        <w:rPr>
          <w:rFonts w:cs="Times New Roman"/>
        </w:rPr>
        <w:tab/>
        <w:t>(b)</w:t>
      </w:r>
      <w:r w:rsidRPr="00060F7E">
        <w:rPr>
          <w:rFonts w:cs="Times New Roman"/>
        </w:rPr>
        <w:tab/>
        <w:t>obligations fully guaranteed both as to principal and interest by the United States;</w:t>
      </w:r>
    </w:p>
    <w:p w:rsidR="00934BC2" w:rsidRPr="00060F7E" w:rsidRDefault="00934BC2" w:rsidP="00934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0F7E">
        <w:rPr>
          <w:rFonts w:cs="Times New Roman"/>
        </w:rPr>
        <w:tab/>
      </w:r>
      <w:r w:rsidRPr="00060F7E">
        <w:rPr>
          <w:rFonts w:cs="Times New Roman"/>
        </w:rPr>
        <w:tab/>
      </w:r>
      <w:r w:rsidRPr="00060F7E">
        <w:rPr>
          <w:rFonts w:cs="Times New Roman"/>
        </w:rPr>
        <w:tab/>
        <w:t>(c)</w:t>
      </w:r>
      <w:r w:rsidRPr="00060F7E">
        <w:rPr>
          <w:rFonts w:cs="Times New Roman"/>
        </w:rPr>
        <w:tab/>
        <w:t>general obligations of this State or any political subdivision of this State; or</w:t>
      </w:r>
    </w:p>
    <w:p w:rsidR="00934BC2" w:rsidRPr="00060F7E" w:rsidRDefault="00934BC2" w:rsidP="00934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0F7E">
        <w:rPr>
          <w:rFonts w:cs="Times New Roman"/>
        </w:rPr>
        <w:tab/>
      </w:r>
      <w:r w:rsidRPr="00060F7E">
        <w:rPr>
          <w:rFonts w:cs="Times New Roman"/>
        </w:rPr>
        <w:tab/>
      </w:r>
      <w:r w:rsidRPr="00060F7E">
        <w:rPr>
          <w:rFonts w:cs="Times New Roman"/>
        </w:rPr>
        <w:tab/>
        <w:t>(d)</w:t>
      </w:r>
      <w:r w:rsidRPr="00060F7E">
        <w:rPr>
          <w:rFonts w:cs="Times New Roman"/>
        </w:rPr>
        <w:tab/>
        <w:t>obligations of the Federal National Mortgage Association, the Federal Home Loan Bank, Federal Farm Credit Bank, or the Federal Home Loan Mortgage Corporation; or</w:t>
      </w:r>
    </w:p>
    <w:p w:rsidR="00934BC2" w:rsidRPr="00060F7E" w:rsidRDefault="00934BC2" w:rsidP="00934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0F7E">
        <w:rPr>
          <w:rFonts w:cs="Times New Roman"/>
        </w:rPr>
        <w:tab/>
      </w:r>
      <w:r w:rsidRPr="00060F7E">
        <w:rPr>
          <w:rFonts w:cs="Times New Roman"/>
        </w:rPr>
        <w:tab/>
        <w:t>(3)</w:t>
      </w:r>
      <w:r w:rsidRPr="00060F7E">
        <w:rPr>
          <w:rFonts w:cs="Times New Roman"/>
        </w:rPr>
        <w:tab/>
        <w:t xml:space="preserve">provide an irrevocable letter of credit issued by the Federal National Mortgage Association, the Federal Home Loan Bank, Federal Farm Credit Bank, or the Federal Home Loan Mortgage Corporation, in which the local entity is named as beneficiary and the letter of credit </w:t>
      </w:r>
      <w:r w:rsidRPr="00060F7E">
        <w:rPr>
          <w:rFonts w:cs="Times New Roman"/>
        </w:rPr>
        <w:lastRenderedPageBreak/>
        <w:t>otherwise meets the criteria established and prescribed by the local entity.</w:t>
      </w:r>
    </w:p>
    <w:p w:rsidR="00934BC2" w:rsidRPr="00060F7E" w:rsidRDefault="00934BC2" w:rsidP="00934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0F7E">
        <w:rPr>
          <w:rFonts w:cs="Times New Roman"/>
        </w:rPr>
        <w:tab/>
        <w:t>(D)</w:t>
      </w:r>
      <w:r w:rsidRPr="00060F7E">
        <w:rPr>
          <w:rFonts w:cs="Times New Roman"/>
        </w:rPr>
        <w:tab/>
        <w:t>The local entity must exercise prudence in accepting collateral securities or other forms of deposit security.</w:t>
      </w:r>
    </w:p>
    <w:p w:rsidR="00934BC2" w:rsidRPr="00060F7E" w:rsidRDefault="00934BC2" w:rsidP="00934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0F7E">
        <w:rPr>
          <w:rFonts w:cs="Times New Roman"/>
        </w:rPr>
        <w:tab/>
        <w:t>(E)(1)</w:t>
      </w:r>
      <w:r w:rsidRPr="00060F7E">
        <w:rPr>
          <w:rFonts w:cs="Times New Roman"/>
        </w:rPr>
        <w:tab/>
        <w:t>A qualified public depository has the following options:</w:t>
      </w:r>
    </w:p>
    <w:p w:rsidR="00934BC2" w:rsidRPr="00060F7E" w:rsidRDefault="00934BC2" w:rsidP="00934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0F7E">
        <w:rPr>
          <w:rFonts w:cs="Times New Roman"/>
        </w:rPr>
        <w:tab/>
      </w:r>
      <w:r w:rsidRPr="00060F7E">
        <w:rPr>
          <w:rFonts w:cs="Times New Roman"/>
        </w:rPr>
        <w:tab/>
      </w:r>
      <w:r w:rsidRPr="00060F7E">
        <w:rPr>
          <w:rFonts w:cs="Times New Roman"/>
        </w:rPr>
        <w:tab/>
        <w:t>(a)</w:t>
      </w:r>
      <w:r w:rsidRPr="00060F7E">
        <w:rPr>
          <w:rFonts w:cs="Times New Roman"/>
        </w:rPr>
        <w:tab/>
        <w:t>to secure all or a portion of uninsured funds under the Dedicated Method where all or a portion of the uninsured funds are secured separately. The qualified public depository shall maintain a record of all securities pledged, with the record being an official record of the qualified public depository and made available to examiners or representatives of all regulatory agencies. The local entity shall maintain a record of the securities pledged for monitoring purposes;</w:t>
      </w:r>
    </w:p>
    <w:p w:rsidR="00934BC2" w:rsidRPr="00060F7E" w:rsidRDefault="00934BC2" w:rsidP="00934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0F7E">
        <w:rPr>
          <w:rFonts w:cs="Times New Roman"/>
        </w:rPr>
        <w:tab/>
      </w:r>
      <w:r w:rsidRPr="00060F7E">
        <w:rPr>
          <w:rFonts w:cs="Times New Roman"/>
        </w:rPr>
        <w:tab/>
      </w:r>
      <w:r w:rsidRPr="00060F7E">
        <w:rPr>
          <w:rFonts w:cs="Times New Roman"/>
        </w:rPr>
        <w:tab/>
        <w:t>(b)</w:t>
      </w:r>
      <w:r w:rsidRPr="00060F7E">
        <w:rPr>
          <w:rFonts w:cs="Times New Roman"/>
        </w:rPr>
        <w:tab/>
        <w:t>to secure all or the remainder of uninsured funds under the Pooling Method where a pool of collateral is established by the qualified public depository under the direction of the State Treasurer for the benefit of local entities. The depository shall obtain written approval from each entity before pooling an entity’s collateral. The depository shall maintain a record of all securities pledged, with the record being an official record of the qualified public depository and made available to examiners or representatives of all regulatory agencies.  The State Treasurer shall determine the requirements and operating procedures for this pool.  The State Treasurer is responsible for monitoring and ensuring a depository’s compliance and providing monthly reports to each local entity in the pool.</w:t>
      </w:r>
    </w:p>
    <w:p w:rsidR="00934BC2" w:rsidRPr="00060F7E" w:rsidRDefault="00934BC2" w:rsidP="00934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0F7E">
        <w:rPr>
          <w:rFonts w:cs="Times New Roman"/>
        </w:rPr>
        <w:tab/>
      </w:r>
      <w:r w:rsidRPr="00060F7E">
        <w:rPr>
          <w:rFonts w:cs="Times New Roman"/>
        </w:rPr>
        <w:tab/>
        <w:t>(2)</w:t>
      </w:r>
      <w:r w:rsidRPr="00060F7E">
        <w:rPr>
          <w:rFonts w:cs="Times New Roman"/>
        </w:rPr>
        <w:tab/>
        <w:t>Notwithstanding the provisions of item (1), the local entity, when other federal or state law applies, may require a qualified public depository to secure all uninsured funds separately under the Dedicated Method.</w:t>
      </w:r>
    </w:p>
    <w:p w:rsidR="00934BC2" w:rsidRPr="00060F7E" w:rsidRDefault="00934BC2" w:rsidP="00934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0F7E">
        <w:rPr>
          <w:rFonts w:cs="Times New Roman"/>
        </w:rPr>
        <w:tab/>
        <w:t>(F)</w:t>
      </w:r>
      <w:r w:rsidRPr="00060F7E">
        <w:rPr>
          <w:rFonts w:cs="Times New Roman"/>
        </w:rPr>
        <w:tab/>
        <w:t>A qualified public depository shall not accept or retain any funds that are required to be secured unless it has deposited eligible collateral equal to its required collateral with some proper depository pursuant to this chapter.</w:t>
      </w:r>
    </w:p>
    <w:p w:rsidR="00934BC2" w:rsidRPr="00060F7E" w:rsidRDefault="00934BC2" w:rsidP="00934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0F7E">
        <w:rPr>
          <w:rFonts w:cs="Times New Roman"/>
        </w:rPr>
        <w:tab/>
        <w:t>(G)</w:t>
      </w:r>
      <w:r w:rsidRPr="00060F7E">
        <w:rPr>
          <w:rFonts w:cs="Times New Roman"/>
        </w:rPr>
        <w:tab/>
        <w:t>‘Qualified public depository’ means a national banking association, state banking association, federal savings and loan association, or federal savings bank located in this State and a bank, trust company, or savings institution organized under the law of this State that receives or holds funds that are secured pursuant to this chapter.</w:t>
      </w:r>
    </w:p>
    <w:p w:rsidR="00934BC2" w:rsidRPr="00060F7E" w:rsidRDefault="00934BC2" w:rsidP="00934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0F7E">
        <w:rPr>
          <w:rFonts w:cs="Times New Roman"/>
          <w:color w:val="000000" w:themeColor="text1"/>
          <w:u w:color="000000" w:themeColor="text1"/>
        </w:rPr>
        <w:tab/>
        <w:t>(H</w:t>
      </w:r>
      <w:r w:rsidRPr="00060F7E">
        <w:rPr>
          <w:rFonts w:cs="Times New Roman"/>
        </w:rPr>
        <w:t>)</w:t>
      </w:r>
      <w:r w:rsidRPr="00060F7E">
        <w:rPr>
          <w:rFonts w:cs="Times New Roman"/>
        </w:rPr>
        <w:tab/>
        <w:t>In addition to the investments authorized for local entities in Section 6</w:t>
      </w:r>
      <w:r w:rsidRPr="00060F7E">
        <w:rPr>
          <w:rFonts w:cs="Times New Roman"/>
        </w:rPr>
        <w:noBreakHyphen/>
        <w:t>5</w:t>
      </w:r>
      <w:r w:rsidRPr="00060F7E">
        <w:rPr>
          <w:rFonts w:cs="Times New Roman"/>
        </w:rPr>
        <w:noBreakHyphen/>
        <w:t>10 and notwithstanding another provision of law, a local entity may deposit all or a portion of surplus public funds in its control or possession in accordance with the following conditions:</w:t>
      </w:r>
    </w:p>
    <w:p w:rsidR="00934BC2" w:rsidRPr="00060F7E" w:rsidRDefault="00934BC2" w:rsidP="00934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0F7E">
        <w:rPr>
          <w:rFonts w:cs="Times New Roman"/>
        </w:rPr>
        <w:tab/>
      </w:r>
      <w:r w:rsidRPr="00060F7E">
        <w:rPr>
          <w:rFonts w:cs="Times New Roman"/>
        </w:rPr>
        <w:tab/>
        <w:t>(1)</w:t>
      </w:r>
      <w:r w:rsidRPr="00060F7E">
        <w:rPr>
          <w:rFonts w:cs="Times New Roman"/>
        </w:rPr>
        <w:tab/>
        <w:t>the funds are initially deposited in a qualified public depository selected by the local entity;</w:t>
      </w:r>
    </w:p>
    <w:p w:rsidR="00934BC2" w:rsidRPr="00060F7E" w:rsidRDefault="00934BC2" w:rsidP="00934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0F7E">
        <w:rPr>
          <w:rFonts w:cs="Times New Roman"/>
        </w:rPr>
        <w:tab/>
      </w:r>
      <w:r w:rsidRPr="00060F7E">
        <w:rPr>
          <w:rFonts w:cs="Times New Roman"/>
        </w:rPr>
        <w:tab/>
        <w:t>(2)</w:t>
      </w:r>
      <w:r w:rsidRPr="00060F7E">
        <w:rPr>
          <w:rFonts w:cs="Times New Roman"/>
        </w:rPr>
        <w:tab/>
        <w:t>the selected qualified public depository arranges for depositing the funds in one or more federally insured banks or savings and loan associations, wherever located, for the account of the local entity;</w:t>
      </w:r>
    </w:p>
    <w:p w:rsidR="00934BC2" w:rsidRPr="00060F7E" w:rsidRDefault="00934BC2" w:rsidP="00934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0F7E">
        <w:rPr>
          <w:rFonts w:cs="Times New Roman"/>
        </w:rPr>
        <w:tab/>
      </w:r>
      <w:r w:rsidRPr="00060F7E">
        <w:rPr>
          <w:rFonts w:cs="Times New Roman"/>
        </w:rPr>
        <w:tab/>
        <w:t>(3)</w:t>
      </w:r>
      <w:r w:rsidRPr="00060F7E">
        <w:rPr>
          <w:rFonts w:cs="Times New Roman"/>
        </w:rPr>
        <w:tab/>
        <w:t>the full amount of the principal and accrued interest of each deposit is insured by the Federal Deposit Insurance Corporation; and</w:t>
      </w:r>
    </w:p>
    <w:p w:rsidR="00934BC2" w:rsidRPr="00060F7E" w:rsidRDefault="00934BC2" w:rsidP="00934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0F7E">
        <w:rPr>
          <w:rFonts w:cs="Times New Roman"/>
        </w:rPr>
        <w:tab/>
      </w:r>
      <w:r w:rsidRPr="00060F7E">
        <w:rPr>
          <w:rFonts w:cs="Times New Roman"/>
        </w:rPr>
        <w:tab/>
        <w:t>(4)</w:t>
      </w:r>
      <w:r w:rsidRPr="00060F7E">
        <w:rPr>
          <w:rFonts w:cs="Times New Roman"/>
        </w:rPr>
        <w:tab/>
        <w:t>the selected qualified public depository acts as custodian for the local entity with respect to each deposit.”</w:t>
      </w:r>
    </w:p>
    <w:p w:rsidR="00934BC2" w:rsidRPr="00060F7E" w:rsidRDefault="00934BC2" w:rsidP="00934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4BC2" w:rsidRPr="001A6E3A" w:rsidRDefault="00934BC2" w:rsidP="00934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34BC2" w:rsidRDefault="00934BC2" w:rsidP="00934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4BC2" w:rsidRPr="00060F7E" w:rsidRDefault="00934BC2" w:rsidP="00934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0F7E">
        <w:rPr>
          <w:rFonts w:cs="Times New Roman"/>
        </w:rPr>
        <w:t>SECTION</w:t>
      </w:r>
      <w:r w:rsidRPr="00060F7E">
        <w:rPr>
          <w:rFonts w:cs="Times New Roman"/>
        </w:rPr>
        <w:tab/>
        <w:t>2.</w:t>
      </w:r>
      <w:r w:rsidRPr="00060F7E">
        <w:rPr>
          <w:rFonts w:cs="Times New Roman"/>
        </w:rPr>
        <w:tab/>
        <w:t>This act takes effect upon approval by the Governor.</w:t>
      </w:r>
    </w:p>
    <w:p w:rsidR="00934BC2" w:rsidRDefault="00934BC2" w:rsidP="00934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34BC2" w:rsidRDefault="00934BC2" w:rsidP="00934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May, 2015.</w:t>
      </w:r>
    </w:p>
    <w:p w:rsidR="00934BC2" w:rsidRDefault="00934BC2" w:rsidP="00934BC2">
      <w:pPr>
        <w:jc w:val="both"/>
        <w:rPr>
          <w:color w:val="000000" w:themeColor="text1"/>
        </w:rPr>
      </w:pPr>
    </w:p>
    <w:p w:rsidR="00934BC2" w:rsidRDefault="00934BC2" w:rsidP="00934BC2">
      <w:pPr>
        <w:jc w:val="both"/>
        <w:rPr>
          <w:color w:val="000000" w:themeColor="text1"/>
        </w:rPr>
      </w:pPr>
      <w:r>
        <w:rPr>
          <w:color w:val="000000" w:themeColor="text1"/>
        </w:rPr>
        <w:t>Approved the 1</w:t>
      </w:r>
      <w:r w:rsidRPr="00686A68">
        <w:rPr>
          <w:color w:val="000000" w:themeColor="text1"/>
          <w:vertAlign w:val="superscript"/>
        </w:rPr>
        <w:t>st</w:t>
      </w:r>
      <w:r>
        <w:rPr>
          <w:color w:val="000000" w:themeColor="text1"/>
        </w:rPr>
        <w:t xml:space="preserve"> day of June, 2015. </w:t>
      </w:r>
    </w:p>
    <w:p w:rsidR="00934BC2" w:rsidRDefault="00934BC2" w:rsidP="00934BC2">
      <w:pPr>
        <w:jc w:val="center"/>
        <w:rPr>
          <w:color w:val="000000" w:themeColor="text1"/>
        </w:rPr>
      </w:pPr>
    </w:p>
    <w:p w:rsidR="00934BC2" w:rsidRDefault="00934BC2" w:rsidP="00934BC2">
      <w:pPr>
        <w:jc w:val="center"/>
        <w:rPr>
          <w:color w:val="000000" w:themeColor="text1"/>
        </w:rPr>
      </w:pPr>
      <w:r>
        <w:rPr>
          <w:color w:val="000000" w:themeColor="text1"/>
        </w:rPr>
        <w:t>__________</w:t>
      </w:r>
    </w:p>
    <w:p w:rsidR="005E402A" w:rsidRPr="004A5074" w:rsidRDefault="005E402A" w:rsidP="00934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E402A" w:rsidRPr="004A5074" w:rsidSect="005E402A">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DBE" w:rsidRDefault="00116DBE" w:rsidP="007D5FAC">
      <w:r>
        <w:separator/>
      </w:r>
    </w:p>
  </w:endnote>
  <w:endnote w:type="continuationSeparator" w:id="0">
    <w:p w:rsidR="00116DBE" w:rsidRDefault="00116DB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02A" w:rsidRPr="005E402A" w:rsidRDefault="005E402A" w:rsidP="005E402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F3C3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02A" w:rsidRDefault="005E40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DBE" w:rsidRDefault="00116DBE" w:rsidP="007D5FAC">
      <w:r>
        <w:separator/>
      </w:r>
    </w:p>
  </w:footnote>
  <w:footnote w:type="continuationSeparator" w:id="0">
    <w:p w:rsidR="00116DBE" w:rsidRDefault="00116DB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375"/>
    <w:docVar w:name="ActSecretary" w:val="Shackelford"/>
    <w:docVar w:name="ActSIdno" w:val="(24)  375ZW15"/>
    <w:docVar w:name="clipname" w:val="375ZW15"/>
    <w:docVar w:name="dvBillNumber" w:val="375"/>
    <w:docVar w:name="dvBillNumberPrefix" w:val="S"/>
    <w:docVar w:name="dvOriginalBody" w:val="Senate"/>
    <w:docVar w:name="OrigSENATEBillNo" w:val="375"/>
    <w:docVar w:name="SENATEACTFULLPATH" w:val="L:\COUNCIL\ACTS\375ZW15.DOCX"/>
    <w:docVar w:name="WhatActtype" w:val="AN ACT"/>
  </w:docVars>
  <w:rsids>
    <w:rsidRoot w:val="00116DBE"/>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807"/>
    <w:rsid w:val="00086E11"/>
    <w:rsid w:val="00092EE6"/>
    <w:rsid w:val="00096A9B"/>
    <w:rsid w:val="00096BDA"/>
    <w:rsid w:val="000A0036"/>
    <w:rsid w:val="000A6151"/>
    <w:rsid w:val="000A6BCA"/>
    <w:rsid w:val="000B03AD"/>
    <w:rsid w:val="000B316D"/>
    <w:rsid w:val="000B36EE"/>
    <w:rsid w:val="000B56CB"/>
    <w:rsid w:val="000D356E"/>
    <w:rsid w:val="000D6F51"/>
    <w:rsid w:val="001030FE"/>
    <w:rsid w:val="001031AE"/>
    <w:rsid w:val="00103295"/>
    <w:rsid w:val="00103692"/>
    <w:rsid w:val="00103D2E"/>
    <w:rsid w:val="00104519"/>
    <w:rsid w:val="00106968"/>
    <w:rsid w:val="00114830"/>
    <w:rsid w:val="00114E88"/>
    <w:rsid w:val="00116DBE"/>
    <w:rsid w:val="001237B9"/>
    <w:rsid w:val="00125FC3"/>
    <w:rsid w:val="00131CE5"/>
    <w:rsid w:val="00135DDF"/>
    <w:rsid w:val="00136AA0"/>
    <w:rsid w:val="00141278"/>
    <w:rsid w:val="00144DD0"/>
    <w:rsid w:val="0014525A"/>
    <w:rsid w:val="001519E2"/>
    <w:rsid w:val="001626DB"/>
    <w:rsid w:val="00170F30"/>
    <w:rsid w:val="00172771"/>
    <w:rsid w:val="001747A9"/>
    <w:rsid w:val="001750EA"/>
    <w:rsid w:val="001754BB"/>
    <w:rsid w:val="0018353C"/>
    <w:rsid w:val="00184AD0"/>
    <w:rsid w:val="001A646B"/>
    <w:rsid w:val="001A6E3A"/>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55FC"/>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33F6"/>
    <w:rsid w:val="004666F5"/>
    <w:rsid w:val="00472A5B"/>
    <w:rsid w:val="00481E5B"/>
    <w:rsid w:val="00484DF4"/>
    <w:rsid w:val="00484F37"/>
    <w:rsid w:val="00486109"/>
    <w:rsid w:val="0049067C"/>
    <w:rsid w:val="004941A4"/>
    <w:rsid w:val="00497784"/>
    <w:rsid w:val="004A073E"/>
    <w:rsid w:val="004A1278"/>
    <w:rsid w:val="004A5074"/>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266FA"/>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E402A"/>
    <w:rsid w:val="005F1A8F"/>
    <w:rsid w:val="005F79FF"/>
    <w:rsid w:val="00602ACC"/>
    <w:rsid w:val="00603619"/>
    <w:rsid w:val="006055BC"/>
    <w:rsid w:val="00605B6E"/>
    <w:rsid w:val="00605C15"/>
    <w:rsid w:val="0060700F"/>
    <w:rsid w:val="0061164A"/>
    <w:rsid w:val="00612BB0"/>
    <w:rsid w:val="006133FE"/>
    <w:rsid w:val="006236C9"/>
    <w:rsid w:val="00625487"/>
    <w:rsid w:val="00626F43"/>
    <w:rsid w:val="0063724D"/>
    <w:rsid w:val="0064018A"/>
    <w:rsid w:val="00640C97"/>
    <w:rsid w:val="00641A70"/>
    <w:rsid w:val="00643998"/>
    <w:rsid w:val="006462FA"/>
    <w:rsid w:val="00655550"/>
    <w:rsid w:val="00657AB1"/>
    <w:rsid w:val="00663AC3"/>
    <w:rsid w:val="00672966"/>
    <w:rsid w:val="006750A0"/>
    <w:rsid w:val="00690F2C"/>
    <w:rsid w:val="00690F99"/>
    <w:rsid w:val="00691B24"/>
    <w:rsid w:val="00696C4D"/>
    <w:rsid w:val="00696F5B"/>
    <w:rsid w:val="006A1196"/>
    <w:rsid w:val="006A4214"/>
    <w:rsid w:val="006A5B40"/>
    <w:rsid w:val="006A65C8"/>
    <w:rsid w:val="006A6F1D"/>
    <w:rsid w:val="006A7D8A"/>
    <w:rsid w:val="006B263A"/>
    <w:rsid w:val="006B4FA6"/>
    <w:rsid w:val="006C7535"/>
    <w:rsid w:val="006C7D00"/>
    <w:rsid w:val="006C7DDE"/>
    <w:rsid w:val="006E1ECF"/>
    <w:rsid w:val="006F22C0"/>
    <w:rsid w:val="006F290C"/>
    <w:rsid w:val="006F3C3F"/>
    <w:rsid w:val="007009F2"/>
    <w:rsid w:val="00704FF9"/>
    <w:rsid w:val="007052EC"/>
    <w:rsid w:val="00707063"/>
    <w:rsid w:val="007127A6"/>
    <w:rsid w:val="00731C9E"/>
    <w:rsid w:val="0073459F"/>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474"/>
    <w:rsid w:val="007B296A"/>
    <w:rsid w:val="007B2D27"/>
    <w:rsid w:val="007C3D08"/>
    <w:rsid w:val="007C3EC8"/>
    <w:rsid w:val="007C7B7F"/>
    <w:rsid w:val="007D04D9"/>
    <w:rsid w:val="007D0D81"/>
    <w:rsid w:val="007D5FAC"/>
    <w:rsid w:val="007D60DE"/>
    <w:rsid w:val="007D6EB9"/>
    <w:rsid w:val="007E2084"/>
    <w:rsid w:val="007E3A81"/>
    <w:rsid w:val="007E5612"/>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4BC2"/>
    <w:rsid w:val="00937AF4"/>
    <w:rsid w:val="00940A90"/>
    <w:rsid w:val="009410C0"/>
    <w:rsid w:val="00947070"/>
    <w:rsid w:val="00953BF7"/>
    <w:rsid w:val="009560AB"/>
    <w:rsid w:val="009631DC"/>
    <w:rsid w:val="00971351"/>
    <w:rsid w:val="009714CA"/>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0142"/>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638"/>
    <w:rsid w:val="00C74E9D"/>
    <w:rsid w:val="00C837F6"/>
    <w:rsid w:val="00C92B7D"/>
    <w:rsid w:val="00C92E2B"/>
    <w:rsid w:val="00C94E59"/>
    <w:rsid w:val="00C97CB8"/>
    <w:rsid w:val="00CA23B8"/>
    <w:rsid w:val="00CA4CD7"/>
    <w:rsid w:val="00CB12FE"/>
    <w:rsid w:val="00CB6056"/>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6891"/>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3996"/>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3C3B"/>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647D4B24-919D-465F-B6EA-35A04D845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E402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A6E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E3A"/>
    <w:rPr>
      <w:rFonts w:ascii="Segoe UI" w:hAnsi="Segoe UI" w:cs="Segoe UI"/>
      <w:sz w:val="18"/>
      <w:szCs w:val="18"/>
    </w:rPr>
  </w:style>
  <w:style w:type="table" w:styleId="TableGrid">
    <w:name w:val="Table Grid"/>
    <w:basedOn w:val="TableNormal"/>
    <w:uiPriority w:val="59"/>
    <w:rsid w:val="00E5399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E402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B24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2-25-15.docx" TargetMode="External"/><Relationship Id="rId13" Type="http://schemas.openxmlformats.org/officeDocument/2006/relationships/hyperlink" Target="file:///h:\HJ%20Archive\2015\03-17-15.docx" TargetMode="External"/><Relationship Id="rId18" Type="http://schemas.openxmlformats.org/officeDocument/2006/relationships/hyperlink" Target="file:///p:\pprever\2015-16\375_20150225.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Archive\2015\01-28-15.docx" TargetMode="External"/><Relationship Id="rId12" Type="http://schemas.openxmlformats.org/officeDocument/2006/relationships/hyperlink" Target="file:///h:\HJ%20Archive\2015\03-17-15.docx" TargetMode="External"/><Relationship Id="rId17" Type="http://schemas.openxmlformats.org/officeDocument/2006/relationships/hyperlink" Target="file:///p:\pprever\2015-16\375_20150128.docx" TargetMode="External"/><Relationship Id="rId2" Type="http://schemas.openxmlformats.org/officeDocument/2006/relationships/settings" Target="settings.xml"/><Relationship Id="rId16" Type="http://schemas.openxmlformats.org/officeDocument/2006/relationships/hyperlink" Target="http://www.scstatehouse.gov/billsearch.php?billnumbers=375&amp;session=121&amp;summary=B" TargetMode="External"/><Relationship Id="rId20" Type="http://schemas.openxmlformats.org/officeDocument/2006/relationships/hyperlink" Target="file:///p:\pprever\2015-16\375_20150514.docx" TargetMode="External"/><Relationship Id="rId1" Type="http://schemas.openxmlformats.org/officeDocument/2006/relationships/styles" Target="styles.xml"/><Relationship Id="rId6" Type="http://schemas.openxmlformats.org/officeDocument/2006/relationships/hyperlink" Target="file:///h:\SJ%20Archive\2015\01-28-15.docx" TargetMode="External"/><Relationship Id="rId11" Type="http://schemas.openxmlformats.org/officeDocument/2006/relationships/hyperlink" Target="file:///h:\SJ%20Archive\2015\03-05-15.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5\05-21-15.docx" TargetMode="External"/><Relationship Id="rId23" Type="http://schemas.openxmlformats.org/officeDocument/2006/relationships/fontTable" Target="fontTable.xml"/><Relationship Id="rId10" Type="http://schemas.openxmlformats.org/officeDocument/2006/relationships/hyperlink" Target="file:///h:\SJ%20Archive\2015\03-04-15.docx" TargetMode="External"/><Relationship Id="rId19" Type="http://schemas.openxmlformats.org/officeDocument/2006/relationships/hyperlink" Target="file:///p:\pprever\2015-16\375_20150226.docx" TargetMode="External"/><Relationship Id="rId4" Type="http://schemas.openxmlformats.org/officeDocument/2006/relationships/footnotes" Target="footnotes.xml"/><Relationship Id="rId9" Type="http://schemas.openxmlformats.org/officeDocument/2006/relationships/hyperlink" Target="file:///h:\SJ%20Archive\2015\03-04-15.docx" TargetMode="External"/><Relationship Id="rId14" Type="http://schemas.openxmlformats.org/officeDocument/2006/relationships/hyperlink" Target="file:///h:\HJ%20Archive\2015\05-14-15.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1183</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375: Local government - South Carolina Legislature Online</dc:title>
  <dc:subject/>
  <dc:creator>GloriaShackelford</dc:creator>
  <cp:keywords/>
  <dc:description/>
  <cp:lastModifiedBy>N Cumfer</cp:lastModifiedBy>
  <cp:revision>2</cp:revision>
  <cp:lastPrinted>2015-05-21T17:55:00Z</cp:lastPrinted>
  <dcterms:created xsi:type="dcterms:W3CDTF">2016-12-02T17:00:00Z</dcterms:created>
  <dcterms:modified xsi:type="dcterms:W3CDTF">2016-12-02T17:00:00Z</dcterms:modified>
</cp:coreProperties>
</file>