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D86" w:rsidRDefault="00EB3D86" w:rsidP="00EB3D86">
      <w:pPr>
        <w:widowControl w:val="0"/>
        <w:jc w:val="center"/>
      </w:pPr>
      <w:bookmarkStart w:id="0" w:name="_GoBack"/>
      <w:bookmarkEnd w:id="0"/>
      <w:r w:rsidRPr="00EB3D86">
        <w:rPr>
          <w:b/>
        </w:rPr>
        <w:t>South Carolina General Assembly</w:t>
      </w:r>
    </w:p>
    <w:p w:rsidR="00EB3D86" w:rsidRDefault="00EB3D86" w:rsidP="00EB3D86">
      <w:pPr>
        <w:widowControl w:val="0"/>
        <w:jc w:val="center"/>
      </w:pPr>
      <w:r>
        <w:t>121st Session, 2015-2016</w:t>
      </w:r>
    </w:p>
    <w:p w:rsidR="00EB3D86" w:rsidRDefault="00EB3D86" w:rsidP="00EB3D86">
      <w:pPr>
        <w:widowControl w:val="0"/>
        <w:jc w:val="left"/>
      </w:pPr>
    </w:p>
    <w:p w:rsidR="00EB3D86" w:rsidRDefault="00EB3D86" w:rsidP="00EB3D86">
      <w:pPr>
        <w:widowControl w:val="0"/>
        <w:jc w:val="left"/>
        <w:rPr>
          <w:b/>
        </w:rPr>
      </w:pPr>
      <w:r w:rsidRPr="00EB3D86">
        <w:rPr>
          <w:b/>
        </w:rPr>
        <w:t>H. 3916</w:t>
      </w:r>
    </w:p>
    <w:p w:rsidR="00EB3D86" w:rsidRDefault="00EB3D86" w:rsidP="00EB3D86">
      <w:pPr>
        <w:widowControl w:val="0"/>
        <w:jc w:val="left"/>
        <w:rPr>
          <w:b/>
        </w:rPr>
      </w:pPr>
    </w:p>
    <w:p w:rsidR="00EB3D86" w:rsidRDefault="00EB3D86" w:rsidP="00EB3D86">
      <w:pPr>
        <w:widowControl w:val="0"/>
        <w:jc w:val="left"/>
      </w:pPr>
      <w:r w:rsidRPr="00EB3D86">
        <w:rPr>
          <w:b/>
        </w:rPr>
        <w:t>STATUS INFORMATION</w:t>
      </w:r>
    </w:p>
    <w:p w:rsidR="00EB3D86" w:rsidRDefault="00EB3D86" w:rsidP="00EB3D86">
      <w:pPr>
        <w:widowControl w:val="0"/>
        <w:jc w:val="left"/>
      </w:pPr>
    </w:p>
    <w:p w:rsidR="00EB3D86" w:rsidRDefault="00EB3D86" w:rsidP="00EB3D86">
      <w:pPr>
        <w:widowControl w:val="0"/>
        <w:jc w:val="left"/>
      </w:pPr>
      <w:r>
        <w:t>General Bill</w:t>
      </w:r>
    </w:p>
    <w:p w:rsidR="00EB3D86" w:rsidRDefault="00EB3D86" w:rsidP="00EB3D86">
      <w:pPr>
        <w:widowControl w:val="0"/>
        <w:jc w:val="left"/>
      </w:pPr>
      <w:r>
        <w:t>Sponsors: Reps. Long, Norrell, Yow, Erickson, Anthony, Henderson, Herbkersman, Newton and Toole</w:t>
      </w:r>
    </w:p>
    <w:p w:rsidR="00EB3D86" w:rsidRDefault="00EB3D86" w:rsidP="00EB3D86">
      <w:pPr>
        <w:widowControl w:val="0"/>
        <w:jc w:val="left"/>
      </w:pPr>
      <w:r>
        <w:t>Document Path: l:\council\bills\swb\5283cm15.docx</w:t>
      </w:r>
    </w:p>
    <w:p w:rsidR="00EB3D86" w:rsidRDefault="00EB3D86" w:rsidP="00EB3D86">
      <w:pPr>
        <w:widowControl w:val="0"/>
        <w:jc w:val="left"/>
      </w:pPr>
    </w:p>
    <w:p w:rsidR="00EB3D86" w:rsidRDefault="00EB3D86" w:rsidP="00EB3D86">
      <w:pPr>
        <w:widowControl w:val="0"/>
        <w:jc w:val="left"/>
      </w:pPr>
      <w:r>
        <w:t>Introduced in the House on March 25, 2015</w:t>
      </w:r>
    </w:p>
    <w:p w:rsidR="00EB3D86" w:rsidRDefault="00EB3D86" w:rsidP="00EB3D86">
      <w:pPr>
        <w:widowControl w:val="0"/>
        <w:jc w:val="left"/>
      </w:pPr>
      <w:r>
        <w:t xml:space="preserve">Currently residing in the House Committee on </w:t>
      </w:r>
      <w:r w:rsidRPr="00EB3D86">
        <w:rPr>
          <w:b/>
        </w:rPr>
        <w:t>Judiciary</w:t>
      </w:r>
    </w:p>
    <w:p w:rsidR="00EB3D86" w:rsidRDefault="00EB3D86" w:rsidP="00EB3D86">
      <w:pPr>
        <w:widowControl w:val="0"/>
        <w:jc w:val="left"/>
      </w:pPr>
    </w:p>
    <w:p w:rsidR="00EB3D86" w:rsidRDefault="00EB3D86" w:rsidP="00EB3D86">
      <w:pPr>
        <w:widowControl w:val="0"/>
        <w:jc w:val="left"/>
      </w:pPr>
      <w:r>
        <w:t xml:space="preserve">Summary: </w:t>
      </w:r>
      <w:r w:rsidR="00946996">
        <w:t>Driver's license surrender and interlock devices;</w:t>
      </w:r>
    </w:p>
    <w:p w:rsidR="00EB3D86" w:rsidRDefault="00EB3D86" w:rsidP="00EB3D86">
      <w:pPr>
        <w:widowControl w:val="0"/>
        <w:jc w:val="left"/>
      </w:pPr>
    </w:p>
    <w:p w:rsidR="00EB3D86" w:rsidRDefault="00EB3D86" w:rsidP="00EB3D86">
      <w:pPr>
        <w:widowControl w:val="0"/>
        <w:jc w:val="left"/>
      </w:pPr>
    </w:p>
    <w:p w:rsidR="00EB3D86" w:rsidRDefault="00EB3D86" w:rsidP="00EB3D86">
      <w:pPr>
        <w:widowControl w:val="0"/>
        <w:tabs>
          <w:tab w:val="center" w:pos="590"/>
          <w:tab w:val="center" w:pos="1440"/>
          <w:tab w:val="left" w:pos="1872"/>
          <w:tab w:val="left" w:pos="9187"/>
        </w:tabs>
        <w:jc w:val="left"/>
      </w:pPr>
      <w:r w:rsidRPr="00EB3D86">
        <w:rPr>
          <w:b/>
        </w:rPr>
        <w:t>HISTORY OF LEGISLATIVE ACTIONS</w:t>
      </w:r>
    </w:p>
    <w:p w:rsidR="00EB3D86" w:rsidRDefault="00EB3D86" w:rsidP="00EB3D86">
      <w:pPr>
        <w:widowControl w:val="0"/>
        <w:tabs>
          <w:tab w:val="center" w:pos="590"/>
          <w:tab w:val="center" w:pos="1440"/>
          <w:tab w:val="left" w:pos="1872"/>
          <w:tab w:val="left" w:pos="9187"/>
        </w:tabs>
        <w:jc w:val="left"/>
      </w:pPr>
    </w:p>
    <w:p w:rsidR="00EB3D86" w:rsidRPr="00EB3D86" w:rsidRDefault="00EB3D86" w:rsidP="00EB3D86">
      <w:pPr>
        <w:widowControl w:val="0"/>
        <w:tabs>
          <w:tab w:val="center" w:pos="590"/>
          <w:tab w:val="center" w:pos="1440"/>
          <w:tab w:val="left" w:pos="1872"/>
          <w:tab w:val="left" w:pos="9187"/>
        </w:tabs>
        <w:jc w:val="left"/>
      </w:pPr>
      <w:r w:rsidRPr="00EB3D86">
        <w:rPr>
          <w:u w:val="single"/>
        </w:rPr>
        <w:tab/>
        <w:t>Date</w:t>
      </w:r>
      <w:r w:rsidRPr="00EB3D86">
        <w:rPr>
          <w:u w:val="single"/>
        </w:rPr>
        <w:tab/>
        <w:t>Body</w:t>
      </w:r>
      <w:r w:rsidRPr="00EB3D86">
        <w:rPr>
          <w:u w:val="single"/>
        </w:rPr>
        <w:tab/>
        <w:t>Action Description with journal page number</w:t>
      </w:r>
      <w:r w:rsidRPr="00EB3D86">
        <w:rPr>
          <w:u w:val="single"/>
        </w:rPr>
        <w:tab/>
      </w:r>
    </w:p>
    <w:p w:rsidR="002414E7" w:rsidRDefault="002414E7" w:rsidP="002414E7">
      <w:pPr>
        <w:widowControl w:val="0"/>
        <w:tabs>
          <w:tab w:val="right" w:pos="1008"/>
          <w:tab w:val="left" w:pos="1152"/>
          <w:tab w:val="left" w:pos="1872"/>
          <w:tab w:val="left" w:pos="9187"/>
        </w:tabs>
        <w:ind w:left="2088" w:hanging="2088"/>
        <w:jc w:val="left"/>
      </w:pPr>
      <w:r>
        <w:tab/>
        <w:t>3/25/2015</w:t>
      </w:r>
      <w:r>
        <w:tab/>
        <w:t>House</w:t>
      </w:r>
      <w:r>
        <w:tab/>
      </w:r>
      <w:r w:rsidRPr="006971B0">
        <w:t>Introduced and read first time (</w:t>
      </w:r>
      <w:hyperlink r:id="rId7" w:history="1">
        <w:r w:rsidRPr="00ED36C4">
          <w:rPr>
            <w:rStyle w:val="Hyperlink"/>
          </w:rPr>
          <w:t>House Journal</w:t>
        </w:r>
        <w:r w:rsidRPr="00ED36C4">
          <w:rPr>
            <w:rStyle w:val="Hyperlink"/>
          </w:rPr>
          <w:noBreakHyphen/>
          <w:t>page 72</w:t>
        </w:r>
      </w:hyperlink>
      <w:r w:rsidRPr="006971B0">
        <w:t>)</w:t>
      </w:r>
    </w:p>
    <w:p w:rsidR="002414E7" w:rsidRDefault="002414E7" w:rsidP="002414E7">
      <w:pPr>
        <w:widowControl w:val="0"/>
        <w:tabs>
          <w:tab w:val="right" w:pos="1008"/>
          <w:tab w:val="left" w:pos="1152"/>
          <w:tab w:val="left" w:pos="1872"/>
          <w:tab w:val="left" w:pos="9187"/>
        </w:tabs>
        <w:ind w:left="2088" w:hanging="2088"/>
        <w:jc w:val="left"/>
      </w:pPr>
      <w:r>
        <w:tab/>
        <w:t>3/25/2015</w:t>
      </w:r>
      <w:r>
        <w:tab/>
        <w:t>House</w:t>
      </w:r>
      <w:r>
        <w:tab/>
      </w:r>
      <w:r w:rsidRPr="006971B0">
        <w:t>Ref</w:t>
      </w:r>
      <w:r>
        <w:t xml:space="preserve">erred to Committee on </w:t>
      </w:r>
      <w:r w:rsidRPr="006971B0">
        <w:rPr>
          <w:b/>
        </w:rPr>
        <w:t>Judiciary</w:t>
      </w:r>
      <w:r>
        <w:t xml:space="preserve"> </w:t>
      </w:r>
      <w:r w:rsidRPr="006971B0">
        <w:t>(</w:t>
      </w:r>
      <w:hyperlink r:id="rId8" w:history="1">
        <w:r w:rsidRPr="00ED36C4">
          <w:rPr>
            <w:rStyle w:val="Hyperlink"/>
          </w:rPr>
          <w:t>House Journal</w:t>
        </w:r>
        <w:r w:rsidRPr="00ED36C4">
          <w:rPr>
            <w:rStyle w:val="Hyperlink"/>
          </w:rPr>
          <w:noBreakHyphen/>
          <w:t>page 72</w:t>
        </w:r>
      </w:hyperlink>
      <w:r w:rsidRPr="006971B0">
        <w:t>)</w:t>
      </w:r>
    </w:p>
    <w:p w:rsidR="002414E7" w:rsidRDefault="002414E7" w:rsidP="002414E7">
      <w:pPr>
        <w:widowControl w:val="0"/>
        <w:tabs>
          <w:tab w:val="right" w:pos="1008"/>
          <w:tab w:val="left" w:pos="1152"/>
          <w:tab w:val="left" w:pos="1872"/>
          <w:tab w:val="left" w:pos="9187"/>
        </w:tabs>
        <w:ind w:left="2088" w:hanging="2088"/>
        <w:jc w:val="left"/>
      </w:pPr>
    </w:p>
    <w:p w:rsidR="00EB3D86" w:rsidRDefault="00EB3D86" w:rsidP="00EB3D86">
      <w:pPr>
        <w:widowControl w:val="0"/>
        <w:tabs>
          <w:tab w:val="right" w:pos="1008"/>
          <w:tab w:val="left" w:pos="1152"/>
          <w:tab w:val="left" w:pos="1872"/>
          <w:tab w:val="left" w:pos="9187"/>
        </w:tabs>
        <w:ind w:left="2088" w:hanging="2088"/>
        <w:jc w:val="left"/>
      </w:pPr>
      <w:r>
        <w:t xml:space="preserve">View the latest </w:t>
      </w:r>
      <w:hyperlink r:id="rId9" w:history="1">
        <w:r w:rsidRPr="00EB3D86">
          <w:rPr>
            <w:rStyle w:val="Hyperlink"/>
          </w:rPr>
          <w:t>legislative information</w:t>
        </w:r>
      </w:hyperlink>
      <w:r>
        <w:t xml:space="preserve"> at the website</w:t>
      </w:r>
    </w:p>
    <w:p w:rsidR="00EB3D86" w:rsidRDefault="00EB3D86" w:rsidP="00EB3D86">
      <w:pPr>
        <w:widowControl w:val="0"/>
        <w:tabs>
          <w:tab w:val="right" w:pos="1008"/>
          <w:tab w:val="left" w:pos="1152"/>
          <w:tab w:val="left" w:pos="1872"/>
          <w:tab w:val="left" w:pos="9187"/>
        </w:tabs>
        <w:ind w:left="2088" w:hanging="2088"/>
        <w:jc w:val="left"/>
      </w:pPr>
    </w:p>
    <w:p w:rsidR="00EB3D86" w:rsidRPr="00EB3D86" w:rsidRDefault="00EB3D86" w:rsidP="00EB3D86">
      <w:pPr>
        <w:widowControl w:val="0"/>
        <w:tabs>
          <w:tab w:val="right" w:pos="1008"/>
          <w:tab w:val="left" w:pos="1152"/>
          <w:tab w:val="left" w:pos="1872"/>
          <w:tab w:val="left" w:pos="9187"/>
        </w:tabs>
        <w:ind w:left="2088" w:hanging="2088"/>
        <w:jc w:val="left"/>
      </w:pPr>
    </w:p>
    <w:p w:rsidR="00EB3D86" w:rsidRDefault="00EB3D86" w:rsidP="00EB3D86">
      <w:pPr>
        <w:widowControl w:val="0"/>
        <w:jc w:val="left"/>
      </w:pPr>
      <w:r w:rsidRPr="00EB3D86">
        <w:rPr>
          <w:b/>
        </w:rPr>
        <w:t>VERSIONS OF THIS BILL</w:t>
      </w:r>
    </w:p>
    <w:p w:rsidR="00EB3D86" w:rsidRDefault="00EB3D86" w:rsidP="00EB3D86">
      <w:pPr>
        <w:widowControl w:val="0"/>
        <w:jc w:val="left"/>
      </w:pPr>
    </w:p>
    <w:p w:rsidR="00EB3D86" w:rsidRDefault="00ED36C4" w:rsidP="00EB3D86">
      <w:pPr>
        <w:widowControl w:val="0"/>
        <w:jc w:val="left"/>
      </w:pPr>
      <w:hyperlink r:id="rId10" w:history="1">
        <w:r w:rsidR="00EB3D86">
          <w:rPr>
            <w:rStyle w:val="Hyperlink"/>
          </w:rPr>
          <w:t>3/25/2015</w:t>
        </w:r>
      </w:hyperlink>
    </w:p>
    <w:p w:rsidR="00EB3D86" w:rsidRDefault="00EB3D86" w:rsidP="00EB3D86"/>
    <w:p w:rsidR="00EB3D86" w:rsidRDefault="00EB3D86" w:rsidP="00EB3D86">
      <w:pPr>
        <w:sectPr w:rsidR="00EB3D86" w:rsidSect="00EB3D86">
          <w:pgSz w:w="12240" w:h="15840" w:code="1"/>
          <w:pgMar w:top="1080" w:right="1440" w:bottom="1080" w:left="1440" w:header="720" w:footer="720" w:gutter="0"/>
          <w:cols w:space="720"/>
          <w:noEndnote/>
          <w:docGrid w:linePitch="360"/>
        </w:sectPr>
      </w:pPr>
    </w:p>
    <w:p w:rsidR="007A22ED" w:rsidRDefault="007A22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2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2D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10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1</w:t>
      </w:r>
      <w:r>
        <w:noBreakHyphen/>
        <w:t>400, AS AMENDED, CODE OF LAWS OF SOUTH CAROLINA, 1976, RELATING TO THE SURRENDER OF A PERSON</w:t>
      </w:r>
      <w:r w:rsidRPr="00691081">
        <w:t>’</w:t>
      </w:r>
      <w:r>
        <w:t>S DRIVER</w:t>
      </w:r>
      <w:r w:rsidRPr="00691081">
        <w:t>’</w:t>
      </w:r>
      <w:r>
        <w:t xml:space="preserve">S LICENSE TO THE DEPARTMENT OF MOTOR VEHICLES UPON ITS SUSPENSION OR </w:t>
      </w:r>
      <w:r w:rsidR="00E162A2">
        <w:t>REVOCATION</w:t>
      </w:r>
      <w:r>
        <w:t>, TH</w:t>
      </w:r>
      <w:r w:rsidR="00E162A2">
        <w:t>E</w:t>
      </w:r>
      <w:r>
        <w:t xml:space="preserve"> ISSUANCE OF A NEW DRIVER</w:t>
      </w:r>
      <w:r w:rsidRPr="00691081">
        <w:t>’</w:t>
      </w:r>
      <w:r>
        <w:t>S LICENSE, AND THE INSTALLATION OF AN IGNITION INTERLOCK DEVICE ON A VEHICLE FOR A CONVICTION FOR CERTAIN OFFENSES, SO AS TO DELETE THE PROVISION THAT ALLOWS A PERSON WHOSE EMPLOYMENT REQUIRES HIM TO DRIVE A VEHICLE THAT IS NOT REQUIRED TO BE EQUIPPED WITH THE DEVICE TO OBTAIN A WAIVER FROM HAVING THE DEVICE INSTALLED IN THE VEHICLE.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2DA2" w:rsidRDefault="00392D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2DA2" w:rsidRDefault="00392D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DA2" w:rsidRDefault="00392D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1081">
        <w:t>Section 56</w:t>
      </w:r>
      <w:r w:rsidR="00691081">
        <w:noBreakHyphen/>
        <w:t>1</w:t>
      </w:r>
      <w:r w:rsidR="00691081">
        <w:noBreakHyphen/>
        <w:t>400</w:t>
      </w:r>
      <w:r w:rsidR="00E162A2">
        <w:t xml:space="preserve"> of the 1976 Code</w:t>
      </w:r>
      <w:r w:rsidR="00691081">
        <w:t>, as last amended by Act 158 of 2014, is further amended to read:</w:t>
      </w:r>
    </w:p>
    <w:p w:rsidR="00691081" w:rsidRDefault="006910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400.</w:t>
      </w:r>
      <w:r>
        <w:tab/>
      </w:r>
      <w:r w:rsidRPr="007A7EFA">
        <w:t xml:space="preserve">(A) 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w:t>
      </w:r>
      <w:r w:rsidRPr="007A7EFA">
        <w:lastRenderedPageBreak/>
        <w:t>for violations under the point system, until the person has filed an application for a new license, submitted to an examination as upon an original application, and satisfied the department, after an investigation of the person</w:t>
      </w:r>
      <w:r w:rsidRPr="00691081">
        <w:t>’</w:t>
      </w:r>
      <w:r w:rsidRPr="007A7EFA">
        <w:t>s driving ability, that it would be safe to grant the person the privilege of driving a motor vehicle on the public highways. The department, in the department</w:t>
      </w:r>
      <w:r w:rsidRPr="00691081">
        <w:t>’</w:t>
      </w:r>
      <w:r w:rsidRPr="007A7EFA">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noBreakHyphen/>
      </w:r>
      <w:r w:rsidRPr="007A7EFA">
        <w:t>5</w:t>
      </w:r>
      <w:r>
        <w:noBreakHyphen/>
      </w:r>
      <w:r w:rsidRPr="007A7EFA">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 56</w:t>
      </w:r>
      <w:r>
        <w:noBreakHyphen/>
      </w:r>
      <w:r w:rsidRPr="007A7EFA">
        <w:t>1</w:t>
      </w:r>
      <w:r>
        <w:noBreakHyphen/>
      </w:r>
      <w:r w:rsidRPr="007A7EFA">
        <w:t>286, 56</w:t>
      </w:r>
      <w:r>
        <w:noBreakHyphen/>
      </w:r>
      <w:r w:rsidRPr="007A7EFA">
        <w:t>5</w:t>
      </w:r>
      <w:r>
        <w:noBreakHyphen/>
      </w:r>
      <w:r w:rsidRPr="007A7EFA">
        <w:t>2945, 56</w:t>
      </w:r>
      <w:r>
        <w:noBreakHyphen/>
      </w:r>
      <w:r w:rsidRPr="007A7EFA">
        <w:t>5</w:t>
      </w:r>
      <w:r>
        <w:noBreakHyphen/>
      </w:r>
      <w:r w:rsidRPr="007A7EFA">
        <w:t>2947 except if the conviction was for Section 56</w:t>
      </w:r>
      <w:r>
        <w:noBreakHyphen/>
      </w:r>
      <w:r w:rsidRPr="007A7EFA">
        <w:t>5</w:t>
      </w:r>
      <w:r>
        <w:noBreakHyphen/>
      </w:r>
      <w:r w:rsidRPr="007A7EFA">
        <w:t>750, 56</w:t>
      </w:r>
      <w:r>
        <w:noBreakHyphen/>
      </w:r>
      <w:r w:rsidRPr="007A7EFA">
        <w:t>5</w:t>
      </w:r>
      <w:r>
        <w:noBreakHyphen/>
      </w:r>
      <w:r w:rsidRPr="007A7EFA">
        <w:t>2951, or 56</w:t>
      </w:r>
      <w:r>
        <w:noBreakHyphen/>
      </w:r>
      <w:r w:rsidRPr="007A7EFA">
        <w:t>5</w:t>
      </w:r>
      <w:r>
        <w:noBreakHyphen/>
      </w:r>
      <w:r w:rsidRPr="007A7EFA">
        <w:t>2990. For purposes of Title 56, the license must be referred to as an ignition interlock restricted license. The fee for an ignition interlock restricted license is one hundred dollars, which shall be placed into a special restricted account by the Comptroller General to be used by the Department of Motor Vehicles to defray the department</w:t>
      </w:r>
      <w:r w:rsidRPr="00691081">
        <w:t>’</w:t>
      </w:r>
      <w:r w:rsidRPr="007A7EFA">
        <w:t>s expenses.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 56</w:t>
      </w:r>
      <w:r>
        <w:noBreakHyphen/>
      </w:r>
      <w:r w:rsidRPr="007A7EFA">
        <w:t>1</w:t>
      </w:r>
      <w:r>
        <w:noBreakHyphen/>
      </w:r>
      <w:r w:rsidRPr="007A7EFA">
        <w:t>286, 56</w:t>
      </w:r>
      <w:r>
        <w:noBreakHyphen/>
      </w:r>
      <w:r w:rsidRPr="007A7EFA">
        <w:t>5</w:t>
      </w:r>
      <w:r>
        <w:noBreakHyphen/>
      </w:r>
      <w:r w:rsidRPr="007A7EFA">
        <w:t>2945, 56</w:t>
      </w:r>
      <w:r>
        <w:noBreakHyphen/>
      </w:r>
      <w:r w:rsidRPr="007A7EFA">
        <w:t>5</w:t>
      </w:r>
      <w:r>
        <w:noBreakHyphen/>
      </w:r>
      <w:r w:rsidRPr="007A7EFA">
        <w:t>2947 except if the conviction was for Section 56</w:t>
      </w:r>
      <w:r>
        <w:noBreakHyphen/>
      </w:r>
      <w:r w:rsidRPr="007A7EFA">
        <w:t>5</w:t>
      </w:r>
      <w:r>
        <w:noBreakHyphen/>
      </w:r>
      <w:r w:rsidRPr="007A7EFA">
        <w:t>750, 56</w:t>
      </w:r>
      <w:r>
        <w:noBreakHyphen/>
      </w:r>
      <w:r w:rsidRPr="007A7EFA">
        <w:t>5</w:t>
      </w:r>
      <w:r>
        <w:noBreakHyphen/>
      </w:r>
      <w:r w:rsidRPr="007A7EFA">
        <w:t>2951, or 56</w:t>
      </w:r>
      <w:r>
        <w:noBreakHyphen/>
      </w:r>
      <w:r w:rsidRPr="007A7EFA">
        <w:t>5</w:t>
      </w:r>
      <w:r>
        <w:noBreakHyphen/>
      </w:r>
      <w:r w:rsidRPr="007A7EFA">
        <w:t>2990. This provision does not affect nor bar the reckoning of prior offenses for reckless driving and driving under the influence of intoxicating liquor or narcotic drugs, as provided in Article 23, Chapter 5 of this title.</w:t>
      </w:r>
    </w:p>
    <w:p w:rsidR="00691081" w:rsidRP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A7EFA">
        <w:tab/>
        <w:t>(B)</w:t>
      </w:r>
      <w:r w:rsidRPr="00691081">
        <w:rPr>
          <w:strike/>
        </w:rPr>
        <w:t>(1) A person who does not own a vehicle, as shown in the Department of Motor Vehicles’ records, and who certifies that the person:</w:t>
      </w:r>
    </w:p>
    <w:p w:rsidR="00691081" w:rsidRP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91081">
        <w:tab/>
      </w:r>
      <w:r w:rsidRPr="00691081">
        <w:tab/>
      </w:r>
      <w:r w:rsidRPr="00691081">
        <w:tab/>
      </w:r>
      <w:r w:rsidRPr="00691081">
        <w:rPr>
          <w:strike/>
        </w:rPr>
        <w:t>(a) cannot obtain a vehicle owner’s permission to have an ignition interlock device installed on a vehicle;</w:t>
      </w:r>
    </w:p>
    <w:p w:rsidR="00691081" w:rsidRP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91081">
        <w:tab/>
      </w:r>
      <w:r w:rsidRPr="00691081">
        <w:tab/>
      </w:r>
      <w:r w:rsidRPr="00691081">
        <w:tab/>
      </w:r>
      <w:r w:rsidRPr="00691081">
        <w:rPr>
          <w:strike/>
        </w:rPr>
        <w:t>(b) will not be driving a vehicle other than a vehicle owned by the person’s employer; and</w:t>
      </w:r>
    </w:p>
    <w:p w:rsidR="00691081" w:rsidRP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91081">
        <w:tab/>
      </w:r>
      <w:r w:rsidRPr="00691081">
        <w:tab/>
      </w:r>
      <w:r w:rsidRPr="00691081">
        <w:tab/>
      </w:r>
      <w:r w:rsidRPr="00691081">
        <w:rPr>
          <w:strike/>
        </w:rPr>
        <w:t>(c) will not own a vehicle during the interlock period, may petition the department, on a form provided by the department, for issuance of an ignition interlock restricted license that permits the person to operate a vehicle specified by the employee according to the employer’s needs as contained in the employer’s statement during the days and hours specified in the employer’s statement without having to show that an ignition interlock device has been installed.</w:t>
      </w:r>
    </w:p>
    <w:p w:rsidR="00691081" w:rsidRP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91081">
        <w:tab/>
      </w:r>
      <w:r w:rsidRPr="00691081">
        <w:tab/>
      </w:r>
      <w:r w:rsidRPr="00691081">
        <w:rPr>
          <w:strike/>
        </w:rPr>
        <w:t>(2) The form must contain:</w:t>
      </w:r>
    </w:p>
    <w:p w:rsidR="00691081" w:rsidRP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91081">
        <w:tab/>
      </w:r>
      <w:r w:rsidRPr="00691081">
        <w:tab/>
      </w:r>
      <w:r w:rsidRPr="00691081">
        <w:tab/>
      </w:r>
      <w:r w:rsidRPr="00691081">
        <w:rPr>
          <w:strike/>
        </w:rPr>
        <w:t>(a) identifying information about the employer’s noncommercial vehicles that the person will be operating;</w:t>
      </w:r>
    </w:p>
    <w:p w:rsidR="00691081" w:rsidRP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91081">
        <w:tab/>
      </w:r>
      <w:r w:rsidRPr="00691081">
        <w:tab/>
      </w:r>
      <w:r w:rsidRPr="00691081">
        <w:tab/>
      </w:r>
      <w:r w:rsidRPr="00691081">
        <w:rPr>
          <w:strike/>
        </w:rPr>
        <w:t>(b) a statement that explains the circumstances in which the person will be operating the employer’s vehicles; and</w:t>
      </w:r>
    </w:p>
    <w:p w:rsidR="00691081" w:rsidRP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91081">
        <w:tab/>
      </w:r>
      <w:r w:rsidRPr="00691081">
        <w:tab/>
      </w:r>
      <w:r w:rsidRPr="00691081">
        <w:tab/>
      </w:r>
      <w:r w:rsidRPr="00691081">
        <w:rPr>
          <w:strike/>
        </w:rPr>
        <w:t>(c) the notarized signature of the person’s employer.</w:t>
      </w:r>
    </w:p>
    <w:p w:rsidR="00691081" w:rsidRP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91081">
        <w:tab/>
      </w:r>
      <w:r w:rsidRPr="00691081">
        <w:tab/>
      </w:r>
      <w:r w:rsidRPr="00691081">
        <w:rPr>
          <w:strike/>
        </w:rPr>
        <w:t>(3) This subsection does not apply to a person who is self</w:t>
      </w:r>
      <w:r>
        <w:rPr>
          <w:strike/>
        </w:rPr>
        <w:noBreakHyphen/>
      </w:r>
      <w:r w:rsidRPr="00691081">
        <w:rPr>
          <w:strike/>
        </w:rPr>
        <w:t>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691081" w:rsidRP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91081">
        <w:tab/>
      </w:r>
      <w:r w:rsidRPr="00691081">
        <w:tab/>
      </w:r>
      <w:r w:rsidRPr="00691081">
        <w:rPr>
          <w:strike/>
        </w:rPr>
        <w:t>(4) Whenever the person operates the employer’s vehicle pursuant to this subsection, the person shall have with the person a copy of the form specified by this subsection.</w:t>
      </w:r>
    </w:p>
    <w:p w:rsidR="00691081" w:rsidRP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91081">
        <w:tab/>
      </w:r>
      <w:r w:rsidRPr="00691081">
        <w:tab/>
      </w:r>
      <w:r w:rsidRPr="00691081">
        <w:rPr>
          <w:strike/>
        </w:rPr>
        <w:t>(5) 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person’s employer or has been operating the person’s employer’s vehicle outside the locations, days, or hours specified by the employer in the department’s records. The person may seek relief from the department’s determination by filing a request for a contested case hearing with the Office of Motor Vehicle Hearings pursuant to the Administrative Procedures Act and the rules of procedure for the Office of Motor Vehicle Hearings.</w:t>
      </w:r>
    </w:p>
    <w:p w:rsidR="00691081" w:rsidRDefault="00691081" w:rsidP="0069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1081">
        <w:tab/>
      </w:r>
      <w:r w:rsidRPr="00691081">
        <w:rPr>
          <w:strike/>
        </w:rPr>
        <w:t>(C)</w:t>
      </w:r>
      <w:r w:rsidRPr="00691081">
        <w:tab/>
      </w:r>
      <w:r w:rsidRPr="007A7EFA">
        <w:t>A person whose license has been suspended or revoked for an offense within the jurisdiction of the court of general sessions shall provide the department with proof that the fine owed by the person has been paid before the department may issue the person a license. Proof that the fine has been paid may be a receipt from the clerk of court of the county in which the conviction occurred stating that the fine has been paid in full.</w:t>
      </w:r>
      <w:r>
        <w:t>”</w:t>
      </w:r>
    </w:p>
    <w:p w:rsidR="00392DA2" w:rsidRDefault="00392D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DA2" w:rsidRDefault="00392D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1081">
        <w:t>2</w:t>
      </w:r>
      <w:r>
        <w:t>.</w:t>
      </w:r>
      <w:r>
        <w:tab/>
        <w:t>This act takes effect upon approval by the Governor.</w:t>
      </w:r>
    </w:p>
    <w:p w:rsidR="008424D8" w:rsidRDefault="006910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3D86" w:rsidRDefault="00EB3D86" w:rsidP="00EB3D86">
      <w:pPr>
        <w:suppressAutoHyphens/>
      </w:pPr>
    </w:p>
    <w:sectPr w:rsidR="00EB3D86" w:rsidSect="00EB3D8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DA2" w:rsidRDefault="00392DA2" w:rsidP="009F0C77">
      <w:r>
        <w:separator/>
      </w:r>
    </w:p>
  </w:endnote>
  <w:endnote w:type="continuationSeparator" w:id="0">
    <w:p w:rsidR="00392DA2" w:rsidRDefault="00392D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785ACD-E736-4418-9F2E-C1B35C55F8F7}"/>
    <w:embedBold r:id="rId2" w:fontKey="{2CC175DB-9045-446F-980A-CB2055BFF6D9}"/>
  </w:font>
  <w:font w:name="Calibri">
    <w:panose1 w:val="020F0502020204030204"/>
    <w:charset w:val="00"/>
    <w:family w:val="swiss"/>
    <w:pitch w:val="variable"/>
    <w:sig w:usb0="E00002FF" w:usb1="4000ACFF" w:usb2="00000001" w:usb3="00000000" w:csb0="0000019F" w:csb1="00000000"/>
    <w:embedRegular r:id="rId3" w:fontKey="{E7A7F525-A60C-4212-A6DB-A799C5133394}"/>
  </w:font>
  <w:font w:name="Cambria">
    <w:panose1 w:val="02040503050406030204"/>
    <w:charset w:val="00"/>
    <w:family w:val="roman"/>
    <w:pitch w:val="variable"/>
    <w:sig w:usb0="E00002FF" w:usb1="400004FF" w:usb2="00000000" w:usb3="00000000" w:csb0="0000019F" w:csb1="00000000"/>
    <w:embedRegular r:id="rId4" w:fontKey="{E87F96EE-8DD5-42DD-B49D-B7B0FF6504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D86" w:rsidRPr="007A22ED" w:rsidRDefault="00EB3D86" w:rsidP="007A22ED">
    <w:pPr>
      <w:pStyle w:val="Footer"/>
      <w:tabs>
        <w:tab w:val="clear" w:pos="4680"/>
        <w:tab w:val="clear" w:pos="9360"/>
        <w:tab w:val="center" w:pos="2995"/>
      </w:tabs>
      <w:spacing w:before="120"/>
    </w:pPr>
    <w:r>
      <w:t>[3916]</w:t>
    </w:r>
    <w:r>
      <w:tab/>
    </w:r>
    <w:r>
      <w:fldChar w:fldCharType="begin"/>
    </w:r>
    <w:r>
      <w:instrText xml:space="preserve"> PAGE  \* MERGEFORMAT </w:instrText>
    </w:r>
    <w:r>
      <w:fldChar w:fldCharType="separate"/>
    </w:r>
    <w:r w:rsidR="00ED36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DA2" w:rsidRDefault="00392DA2" w:rsidP="009F0C77">
      <w:r>
        <w:separator/>
      </w:r>
    </w:p>
  </w:footnote>
  <w:footnote w:type="continuationSeparator" w:id="0">
    <w:p w:rsidR="00392DA2" w:rsidRDefault="00392D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3CM15"/>
    <w:docVar w:name="CoverBillType" w:val="b"/>
    <w:docVar w:name="docpath" w:val="L:\Council\bills\SWB\5283CM15.DOCX"/>
    <w:docVar w:name="dvBillNumber" w:val="3916"/>
    <w:docVar w:name="dvBillNumberPrefix" w:val="H. "/>
    <w:docVar w:name="dvOriginalBody" w:val="House"/>
    <w:docVar w:name="dvSteno" w:val="SWB"/>
    <w:docVar w:name="NameofBody" w:val="h"/>
    <w:docVar w:name="vgroup2" w:val="Council"/>
  </w:docVars>
  <w:rsids>
    <w:rsidRoot w:val="00392DA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414E7"/>
    <w:rsid w:val="00250967"/>
    <w:rsid w:val="002543C8"/>
    <w:rsid w:val="0025541D"/>
    <w:rsid w:val="00284AAE"/>
    <w:rsid w:val="002E5912"/>
    <w:rsid w:val="003000B6"/>
    <w:rsid w:val="00301B21"/>
    <w:rsid w:val="00325348"/>
    <w:rsid w:val="0032732C"/>
    <w:rsid w:val="00336AD0"/>
    <w:rsid w:val="0037079A"/>
    <w:rsid w:val="00392DA2"/>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081"/>
    <w:rsid w:val="006913C9"/>
    <w:rsid w:val="0069470D"/>
    <w:rsid w:val="00734F00"/>
    <w:rsid w:val="007A22ED"/>
    <w:rsid w:val="007A70AE"/>
    <w:rsid w:val="008362E8"/>
    <w:rsid w:val="008424D8"/>
    <w:rsid w:val="008A1768"/>
    <w:rsid w:val="008F0F33"/>
    <w:rsid w:val="008F4429"/>
    <w:rsid w:val="0094021A"/>
    <w:rsid w:val="00946996"/>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1E15"/>
    <w:rsid w:val="00CC6B7B"/>
    <w:rsid w:val="00CD2089"/>
    <w:rsid w:val="00D46A39"/>
    <w:rsid w:val="00D73A67"/>
    <w:rsid w:val="00D970A9"/>
    <w:rsid w:val="00DF3845"/>
    <w:rsid w:val="00E162A2"/>
    <w:rsid w:val="00E41911"/>
    <w:rsid w:val="00E92EEF"/>
    <w:rsid w:val="00EB3D86"/>
    <w:rsid w:val="00ED36C4"/>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6AE642-8549-4309-8470-F63A5516C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B3D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2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2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16_201503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1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CF850-07E3-479E-9542-60104ADE0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1216</Words>
  <Characters>6933</Characters>
  <Application>Microsoft Office Word</Application>
  <DocSecurity>6</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3916: Driver's license surrender and interlock devices; - South Carolina Legislature Online</dc:title>
  <dc:creator>SandyBarden</dc:creator>
  <cp:lastModifiedBy>N Cumfer</cp:lastModifiedBy>
  <cp:revision>2</cp:revision>
  <cp:lastPrinted>2015-03-03T13:53:00Z</cp:lastPrinted>
  <dcterms:created xsi:type="dcterms:W3CDTF">2016-12-02T18:29:00Z</dcterms:created>
  <dcterms:modified xsi:type="dcterms:W3CDTF">2016-12-02T18:29:00Z</dcterms:modified>
</cp:coreProperties>
</file>