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5D9" w:rsidRDefault="00BF25D9" w:rsidP="00BF25D9">
      <w:pPr>
        <w:widowControl w:val="0"/>
        <w:jc w:val="center"/>
      </w:pPr>
      <w:bookmarkStart w:id="0" w:name="_GoBack"/>
      <w:bookmarkEnd w:id="0"/>
      <w:r w:rsidRPr="00BF25D9">
        <w:rPr>
          <w:b/>
        </w:rPr>
        <w:t>South Carolina General Assembly</w:t>
      </w:r>
    </w:p>
    <w:p w:rsidR="00BF25D9" w:rsidRDefault="00BF25D9" w:rsidP="00BF25D9">
      <w:pPr>
        <w:widowControl w:val="0"/>
        <w:jc w:val="center"/>
      </w:pPr>
      <w:r>
        <w:t>121st Session, 2015-2016</w:t>
      </w:r>
    </w:p>
    <w:p w:rsidR="00BF25D9" w:rsidRDefault="00BF25D9" w:rsidP="00BF25D9">
      <w:pPr>
        <w:widowControl w:val="0"/>
        <w:jc w:val="left"/>
      </w:pPr>
    </w:p>
    <w:p w:rsidR="00BF25D9" w:rsidRDefault="00BF25D9" w:rsidP="00BF25D9">
      <w:pPr>
        <w:widowControl w:val="0"/>
        <w:jc w:val="left"/>
        <w:rPr>
          <w:b/>
        </w:rPr>
      </w:pPr>
      <w:r w:rsidRPr="00BF25D9">
        <w:rPr>
          <w:b/>
        </w:rPr>
        <w:t>H. 3979</w:t>
      </w:r>
    </w:p>
    <w:p w:rsidR="00BF25D9" w:rsidRDefault="00BF25D9" w:rsidP="00BF25D9">
      <w:pPr>
        <w:widowControl w:val="0"/>
        <w:jc w:val="left"/>
        <w:rPr>
          <w:b/>
        </w:rPr>
      </w:pPr>
    </w:p>
    <w:p w:rsidR="00BF25D9" w:rsidRDefault="00BF25D9" w:rsidP="00BF25D9">
      <w:pPr>
        <w:widowControl w:val="0"/>
        <w:jc w:val="left"/>
      </w:pPr>
      <w:r w:rsidRPr="00BF25D9">
        <w:rPr>
          <w:b/>
        </w:rPr>
        <w:t>STATUS INFORMATION</w:t>
      </w:r>
    </w:p>
    <w:p w:rsidR="00BF25D9" w:rsidRDefault="00BF25D9" w:rsidP="00BF25D9">
      <w:pPr>
        <w:widowControl w:val="0"/>
        <w:jc w:val="left"/>
      </w:pPr>
    </w:p>
    <w:p w:rsidR="00BF25D9" w:rsidRDefault="00BF25D9" w:rsidP="00BF25D9">
      <w:pPr>
        <w:widowControl w:val="0"/>
        <w:jc w:val="left"/>
      </w:pPr>
      <w:r>
        <w:t>General Bill</w:t>
      </w:r>
    </w:p>
    <w:p w:rsidR="00BF25D9" w:rsidRDefault="00E83C8C" w:rsidP="00BF25D9">
      <w:pPr>
        <w:widowControl w:val="0"/>
        <w:jc w:val="left"/>
      </w:pPr>
      <w:r>
        <w:t>Sponsors: Reps. Tallon, Bannister, Clary, Quinn, Loftis, Mitchell, Sottile, Collins, Burns, M.S. McLeod, Kennedy, Yow, Hamilton, Duckworth, Johnson, Corley, King, Kirby, McEachern, Brannon, Horne, Southard, Alexander, Allison, Anderson, Anthony, Bales, Bamberg, Bernstein, Bingham, Bradley, Chumley, Cole, Crosby, Daning, Delleney, Erickson, Felder, Finlay, Funderburk, Gagnon, Gambrell, George, Hardee, Hardwick, Hart, Henderson, Herbkersman, Hicks, Hill, Hixon, Howard, Huggins, Limehouse, Long, Lowe, Lucas, McCoy, Merrill, D.C. Moss, V.S. Moss, Murphy, Nanney, Newton, Norman, Norrell, Ott, Pope, Putnam, Ridgeway, Riley, Rivers, Rutherford, Ryhal, Sandifer, Simrill, G.R. Smith, Spires, Stavrinakis, Stringer, Taylor, Thayer, Tinkler, Toole, Weeks, Wells, White, Whitmire, Willis, G.M. Smith, Pitts, Robinson</w:t>
      </w:r>
      <w:r>
        <w:noBreakHyphen/>
        <w:t>Simpson and Ballentine</w:t>
      </w:r>
    </w:p>
    <w:p w:rsidR="00BF25D9" w:rsidRDefault="00BF25D9" w:rsidP="00BF25D9">
      <w:pPr>
        <w:widowControl w:val="0"/>
        <w:jc w:val="left"/>
      </w:pPr>
      <w:r>
        <w:t>Document Path: l:\council\bills\ms\7121ahb15.docx</w:t>
      </w:r>
    </w:p>
    <w:p w:rsidR="005F31E3" w:rsidRDefault="001B3466" w:rsidP="00BF25D9">
      <w:pPr>
        <w:widowControl w:val="0"/>
        <w:jc w:val="left"/>
      </w:pPr>
      <w:r>
        <w:t>Companion/Similar bill(s): 1004, 4517</w:t>
      </w:r>
    </w:p>
    <w:p w:rsidR="00BF25D9" w:rsidRDefault="00BF25D9" w:rsidP="00BF25D9">
      <w:pPr>
        <w:widowControl w:val="0"/>
        <w:jc w:val="left"/>
      </w:pPr>
    </w:p>
    <w:p w:rsidR="00A80134" w:rsidRDefault="00A80134" w:rsidP="00BF25D9">
      <w:pPr>
        <w:widowControl w:val="0"/>
        <w:jc w:val="left"/>
      </w:pPr>
      <w:r>
        <w:t>Introduced in the House on April 14, 2015</w:t>
      </w:r>
    </w:p>
    <w:p w:rsidR="00A80134" w:rsidRDefault="00A80134" w:rsidP="00BF25D9">
      <w:pPr>
        <w:widowControl w:val="0"/>
        <w:jc w:val="left"/>
      </w:pPr>
      <w:r>
        <w:t>Introduced in the Senate on April 29, 2015</w:t>
      </w:r>
    </w:p>
    <w:p w:rsidR="00A80134" w:rsidRPr="00A80134" w:rsidRDefault="00A80134" w:rsidP="00BF25D9">
      <w:pPr>
        <w:widowControl w:val="0"/>
        <w:jc w:val="left"/>
      </w:pPr>
      <w:r>
        <w:t xml:space="preserve">Currently residing in the Senate Committee on </w:t>
      </w:r>
      <w:r w:rsidRPr="00A80134">
        <w:rPr>
          <w:b/>
        </w:rPr>
        <w:t>Judiciary</w:t>
      </w:r>
    </w:p>
    <w:p w:rsidR="00A80134" w:rsidRDefault="00A80134" w:rsidP="00BF25D9">
      <w:pPr>
        <w:widowControl w:val="0"/>
        <w:jc w:val="left"/>
      </w:pPr>
    </w:p>
    <w:p w:rsidR="00BF25D9" w:rsidRDefault="00BF25D9" w:rsidP="00BF25D9">
      <w:pPr>
        <w:widowControl w:val="0"/>
        <w:jc w:val="left"/>
      </w:pPr>
      <w:r>
        <w:t xml:space="preserve">Summary: </w:t>
      </w:r>
      <w:r w:rsidR="00533AE0">
        <w:t>Judicial Merit Selection Commission</w:t>
      </w:r>
    </w:p>
    <w:p w:rsidR="00BF25D9" w:rsidRDefault="00BF25D9" w:rsidP="00BF25D9">
      <w:pPr>
        <w:widowControl w:val="0"/>
        <w:jc w:val="left"/>
      </w:pPr>
    </w:p>
    <w:p w:rsidR="00BF25D9" w:rsidRDefault="00BF25D9" w:rsidP="00BF25D9">
      <w:pPr>
        <w:widowControl w:val="0"/>
        <w:jc w:val="left"/>
      </w:pPr>
    </w:p>
    <w:p w:rsidR="00BF25D9" w:rsidRDefault="00BF25D9" w:rsidP="00BF25D9">
      <w:pPr>
        <w:widowControl w:val="0"/>
        <w:tabs>
          <w:tab w:val="center" w:pos="590"/>
          <w:tab w:val="center" w:pos="1440"/>
          <w:tab w:val="left" w:pos="1872"/>
          <w:tab w:val="left" w:pos="9187"/>
        </w:tabs>
        <w:jc w:val="left"/>
      </w:pPr>
      <w:r w:rsidRPr="00BF25D9">
        <w:rPr>
          <w:b/>
        </w:rPr>
        <w:t>HISTORY OF LEGISLATIVE ACTIONS</w:t>
      </w:r>
    </w:p>
    <w:p w:rsidR="00BF25D9" w:rsidRDefault="00BF25D9" w:rsidP="00BF25D9">
      <w:pPr>
        <w:widowControl w:val="0"/>
        <w:tabs>
          <w:tab w:val="center" w:pos="590"/>
          <w:tab w:val="center" w:pos="1440"/>
          <w:tab w:val="left" w:pos="1872"/>
          <w:tab w:val="left" w:pos="9187"/>
        </w:tabs>
        <w:jc w:val="left"/>
      </w:pPr>
    </w:p>
    <w:p w:rsidR="00BF25D9" w:rsidRPr="00BF25D9" w:rsidRDefault="00BF25D9" w:rsidP="00BF25D9">
      <w:pPr>
        <w:widowControl w:val="0"/>
        <w:tabs>
          <w:tab w:val="center" w:pos="590"/>
          <w:tab w:val="center" w:pos="1440"/>
          <w:tab w:val="left" w:pos="1872"/>
          <w:tab w:val="left" w:pos="9187"/>
        </w:tabs>
        <w:jc w:val="left"/>
      </w:pPr>
      <w:r w:rsidRPr="00BF25D9">
        <w:rPr>
          <w:u w:val="single"/>
        </w:rPr>
        <w:tab/>
        <w:t>Date</w:t>
      </w:r>
      <w:r w:rsidRPr="00BF25D9">
        <w:rPr>
          <w:u w:val="single"/>
        </w:rPr>
        <w:tab/>
        <w:t>Body</w:t>
      </w:r>
      <w:r w:rsidRPr="00BF25D9">
        <w:rPr>
          <w:u w:val="single"/>
        </w:rPr>
        <w:tab/>
        <w:t>Action Description with journal page number</w:t>
      </w:r>
      <w:r w:rsidRPr="00BF25D9">
        <w:rPr>
          <w:u w:val="single"/>
        </w:rPr>
        <w:tab/>
      </w:r>
    </w:p>
    <w:p w:rsidR="00F331FE" w:rsidRDefault="00F331FE" w:rsidP="00F331FE">
      <w:pPr>
        <w:widowControl w:val="0"/>
        <w:tabs>
          <w:tab w:val="right" w:pos="1008"/>
          <w:tab w:val="left" w:pos="1152"/>
          <w:tab w:val="left" w:pos="1872"/>
          <w:tab w:val="left" w:pos="9187"/>
        </w:tabs>
        <w:ind w:left="2088" w:hanging="2088"/>
        <w:jc w:val="left"/>
      </w:pPr>
      <w:r>
        <w:tab/>
        <w:t>4/14/2015</w:t>
      </w:r>
      <w:r>
        <w:tab/>
        <w:t>House</w:t>
      </w:r>
      <w:r>
        <w:tab/>
      </w:r>
      <w:r w:rsidRPr="00AD4AA8">
        <w:t>Introduced and read first time (</w:t>
      </w:r>
      <w:hyperlink r:id="rId7" w:history="1">
        <w:r w:rsidRPr="00F71B1B">
          <w:rPr>
            <w:rStyle w:val="Hyperlink"/>
          </w:rPr>
          <w:t>House Journal</w:t>
        </w:r>
        <w:r w:rsidRPr="00F71B1B">
          <w:rPr>
            <w:rStyle w:val="Hyperlink"/>
          </w:rPr>
          <w:noBreakHyphen/>
          <w:t>page 109</w:t>
        </w:r>
      </w:hyperlink>
      <w:r w:rsidRPr="00AD4AA8">
        <w:t>)</w:t>
      </w:r>
    </w:p>
    <w:p w:rsidR="00F331FE" w:rsidRDefault="00F331FE" w:rsidP="00F331FE">
      <w:pPr>
        <w:widowControl w:val="0"/>
        <w:tabs>
          <w:tab w:val="right" w:pos="1008"/>
          <w:tab w:val="left" w:pos="1152"/>
          <w:tab w:val="left" w:pos="1872"/>
          <w:tab w:val="left" w:pos="9187"/>
        </w:tabs>
        <w:ind w:left="2088" w:hanging="2088"/>
        <w:jc w:val="left"/>
      </w:pPr>
      <w:r>
        <w:tab/>
        <w:t>4/14/2015</w:t>
      </w:r>
      <w:r>
        <w:tab/>
        <w:t>House</w:t>
      </w:r>
      <w:r>
        <w:tab/>
      </w:r>
      <w:r w:rsidRPr="00AD4AA8">
        <w:t>Ref</w:t>
      </w:r>
      <w:r>
        <w:t xml:space="preserve">erred to Committee on </w:t>
      </w:r>
      <w:r w:rsidRPr="00AD4AA8">
        <w:rPr>
          <w:b/>
        </w:rPr>
        <w:t>Judiciary</w:t>
      </w:r>
      <w:r>
        <w:t xml:space="preserve"> </w:t>
      </w:r>
      <w:r w:rsidRPr="00AD4AA8">
        <w:t>(</w:t>
      </w:r>
      <w:hyperlink r:id="rId8" w:history="1">
        <w:r w:rsidRPr="00F71B1B">
          <w:rPr>
            <w:rStyle w:val="Hyperlink"/>
          </w:rPr>
          <w:t>House Journal</w:t>
        </w:r>
        <w:r w:rsidRPr="00F71B1B">
          <w:rPr>
            <w:rStyle w:val="Hyperlink"/>
          </w:rPr>
          <w:noBreakHyphen/>
          <w:t>page 109</w:t>
        </w:r>
      </w:hyperlink>
      <w:r w:rsidRPr="00AD4AA8">
        <w:t>)</w:t>
      </w:r>
    </w:p>
    <w:p w:rsidR="00F331FE" w:rsidRDefault="00F331FE" w:rsidP="00F331FE">
      <w:pPr>
        <w:widowControl w:val="0"/>
        <w:tabs>
          <w:tab w:val="right" w:pos="1008"/>
          <w:tab w:val="left" w:pos="1152"/>
          <w:tab w:val="left" w:pos="1872"/>
          <w:tab w:val="left" w:pos="9187"/>
        </w:tabs>
        <w:ind w:left="2088" w:hanging="2088"/>
        <w:jc w:val="left"/>
      </w:pPr>
      <w:r>
        <w:tab/>
        <w:t>4/15/2015</w:t>
      </w:r>
      <w:r>
        <w:tab/>
        <w:t>House</w:t>
      </w:r>
      <w:r>
        <w:tab/>
      </w:r>
      <w:r w:rsidRPr="00AD4AA8">
        <w:t>Member(s)</w:t>
      </w:r>
      <w:r>
        <w:t xml:space="preserve"> request name added as sponsor: </w:t>
      </w:r>
      <w:r w:rsidRPr="00AD4AA8">
        <w:t>G.M.Smith, Pitts</w:t>
      </w:r>
    </w:p>
    <w:p w:rsidR="00F331FE" w:rsidRDefault="00F331FE" w:rsidP="00F331FE">
      <w:pPr>
        <w:widowControl w:val="0"/>
        <w:tabs>
          <w:tab w:val="right" w:pos="1008"/>
          <w:tab w:val="left" w:pos="1152"/>
          <w:tab w:val="left" w:pos="1872"/>
          <w:tab w:val="left" w:pos="9187"/>
        </w:tabs>
        <w:ind w:left="2088" w:hanging="2088"/>
        <w:jc w:val="left"/>
      </w:pPr>
      <w:r>
        <w:tab/>
        <w:t>4/22/2015</w:t>
      </w:r>
      <w:r>
        <w:tab/>
        <w:t>House</w:t>
      </w:r>
      <w:r>
        <w:tab/>
      </w:r>
      <w:r w:rsidRPr="00AD4AA8">
        <w:t>Committee r</w:t>
      </w:r>
      <w:r>
        <w:t xml:space="preserve">eport: Favorable with amendment </w:t>
      </w:r>
      <w:r w:rsidRPr="00AD4AA8">
        <w:rPr>
          <w:b/>
        </w:rPr>
        <w:t>Judiciary</w:t>
      </w:r>
      <w:r w:rsidRPr="00AD4AA8">
        <w:t xml:space="preserve"> (</w:t>
      </w:r>
      <w:hyperlink r:id="rId9" w:history="1">
        <w:r w:rsidRPr="00F71B1B">
          <w:rPr>
            <w:rStyle w:val="Hyperlink"/>
          </w:rPr>
          <w:t>House Journal</w:t>
        </w:r>
        <w:r w:rsidRPr="00F71B1B">
          <w:rPr>
            <w:rStyle w:val="Hyperlink"/>
          </w:rPr>
          <w:noBreakHyphen/>
          <w:t>page 8</w:t>
        </w:r>
      </w:hyperlink>
      <w:r w:rsidRPr="00AD4AA8">
        <w:t>)</w:t>
      </w:r>
    </w:p>
    <w:p w:rsidR="00F331FE" w:rsidRDefault="00F331FE" w:rsidP="00F331FE">
      <w:pPr>
        <w:widowControl w:val="0"/>
        <w:tabs>
          <w:tab w:val="right" w:pos="1008"/>
          <w:tab w:val="left" w:pos="1152"/>
          <w:tab w:val="left" w:pos="1872"/>
          <w:tab w:val="left" w:pos="9187"/>
        </w:tabs>
        <w:ind w:left="2088" w:hanging="2088"/>
        <w:jc w:val="left"/>
      </w:pPr>
      <w:r>
        <w:tab/>
        <w:t>4/23/2015</w:t>
      </w:r>
      <w:r>
        <w:tab/>
        <w:t>House</w:t>
      </w:r>
      <w:r>
        <w:tab/>
      </w:r>
      <w:r w:rsidRPr="00AD4AA8">
        <w:t>Member(s)</w:t>
      </w:r>
      <w:r>
        <w:t xml:space="preserve"> request name added as sponsor: </w:t>
      </w:r>
      <w:r w:rsidRPr="00AD4AA8">
        <w:t>Robinson</w:t>
      </w:r>
      <w:r>
        <w:noBreakHyphen/>
      </w:r>
      <w:r w:rsidRPr="00AD4AA8">
        <w:t>Simpson</w:t>
      </w:r>
    </w:p>
    <w:p w:rsidR="00F331FE" w:rsidRDefault="00F331FE" w:rsidP="00F331FE">
      <w:pPr>
        <w:widowControl w:val="0"/>
        <w:tabs>
          <w:tab w:val="right" w:pos="1008"/>
          <w:tab w:val="left" w:pos="1152"/>
          <w:tab w:val="left" w:pos="1872"/>
          <w:tab w:val="left" w:pos="9187"/>
        </w:tabs>
        <w:ind w:left="2088" w:hanging="2088"/>
        <w:jc w:val="left"/>
      </w:pPr>
      <w:r>
        <w:tab/>
        <w:t>4/24/2015</w:t>
      </w:r>
      <w:r>
        <w:tab/>
      </w:r>
      <w:r>
        <w:tab/>
      </w:r>
      <w:r w:rsidRPr="00AD4AA8">
        <w:t>Scrivener's error corrected</w:t>
      </w:r>
    </w:p>
    <w:p w:rsidR="00F331FE" w:rsidRDefault="00F331FE" w:rsidP="00F331FE">
      <w:pPr>
        <w:widowControl w:val="0"/>
        <w:tabs>
          <w:tab w:val="right" w:pos="1008"/>
          <w:tab w:val="left" w:pos="1152"/>
          <w:tab w:val="left" w:pos="1872"/>
          <w:tab w:val="left" w:pos="9187"/>
        </w:tabs>
        <w:ind w:left="2088" w:hanging="2088"/>
        <w:jc w:val="left"/>
      </w:pPr>
      <w:r>
        <w:tab/>
        <w:t>4/28/2015</w:t>
      </w:r>
      <w:r>
        <w:tab/>
        <w:t>House</w:t>
      </w:r>
      <w:r>
        <w:tab/>
      </w:r>
      <w:r w:rsidRPr="00AD4AA8">
        <w:t>Member(s) request name added as sponsor: Ballentine</w:t>
      </w:r>
    </w:p>
    <w:p w:rsidR="00F331FE" w:rsidRDefault="00F331FE" w:rsidP="00F331FE">
      <w:pPr>
        <w:widowControl w:val="0"/>
        <w:tabs>
          <w:tab w:val="right" w:pos="1008"/>
          <w:tab w:val="left" w:pos="1152"/>
          <w:tab w:val="left" w:pos="1872"/>
          <w:tab w:val="left" w:pos="9187"/>
        </w:tabs>
        <w:ind w:left="2088" w:hanging="2088"/>
        <w:jc w:val="left"/>
      </w:pPr>
      <w:r>
        <w:tab/>
        <w:t>4/28/2015</w:t>
      </w:r>
      <w:r>
        <w:tab/>
        <w:t>House</w:t>
      </w:r>
      <w:r>
        <w:tab/>
      </w:r>
      <w:r w:rsidRPr="00AD4AA8">
        <w:t>Read second time (</w:t>
      </w:r>
      <w:hyperlink r:id="rId10" w:history="1">
        <w:r w:rsidRPr="00F71B1B">
          <w:rPr>
            <w:rStyle w:val="Hyperlink"/>
          </w:rPr>
          <w:t>House Journal</w:t>
        </w:r>
        <w:r w:rsidRPr="00F71B1B">
          <w:rPr>
            <w:rStyle w:val="Hyperlink"/>
          </w:rPr>
          <w:noBreakHyphen/>
          <w:t>page 48</w:t>
        </w:r>
      </w:hyperlink>
      <w:r w:rsidRPr="00AD4AA8">
        <w:t>)</w:t>
      </w:r>
    </w:p>
    <w:p w:rsidR="00F331FE" w:rsidRDefault="00F331FE" w:rsidP="00F331FE">
      <w:pPr>
        <w:widowControl w:val="0"/>
        <w:tabs>
          <w:tab w:val="right" w:pos="1008"/>
          <w:tab w:val="left" w:pos="1152"/>
          <w:tab w:val="left" w:pos="1872"/>
          <w:tab w:val="left" w:pos="9187"/>
        </w:tabs>
        <w:ind w:left="2088" w:hanging="2088"/>
        <w:jc w:val="left"/>
      </w:pPr>
      <w:r>
        <w:tab/>
        <w:t>4/28/2015</w:t>
      </w:r>
      <w:r>
        <w:tab/>
        <w:t>House</w:t>
      </w:r>
      <w:r>
        <w:tab/>
      </w:r>
      <w:r w:rsidRPr="00AD4AA8">
        <w:t>Roll call Yeas</w:t>
      </w:r>
      <w:r>
        <w:noBreakHyphen/>
      </w:r>
      <w:r w:rsidRPr="00AD4AA8">
        <w:t>100  Nays</w:t>
      </w:r>
      <w:r>
        <w:noBreakHyphen/>
      </w:r>
      <w:r w:rsidRPr="00AD4AA8">
        <w:t>1 (</w:t>
      </w:r>
      <w:hyperlink r:id="rId11" w:history="1">
        <w:r w:rsidRPr="00F71B1B">
          <w:rPr>
            <w:rStyle w:val="Hyperlink"/>
          </w:rPr>
          <w:t>House Journal</w:t>
        </w:r>
        <w:r w:rsidRPr="00F71B1B">
          <w:rPr>
            <w:rStyle w:val="Hyperlink"/>
          </w:rPr>
          <w:noBreakHyphen/>
          <w:t>page 52</w:t>
        </w:r>
      </w:hyperlink>
      <w:r w:rsidRPr="00AD4AA8">
        <w:t>)</w:t>
      </w:r>
    </w:p>
    <w:p w:rsidR="00F331FE" w:rsidRDefault="00F331FE" w:rsidP="00F331FE">
      <w:pPr>
        <w:widowControl w:val="0"/>
        <w:tabs>
          <w:tab w:val="right" w:pos="1008"/>
          <w:tab w:val="left" w:pos="1152"/>
          <w:tab w:val="left" w:pos="1872"/>
          <w:tab w:val="left" w:pos="9187"/>
        </w:tabs>
        <w:ind w:left="2088" w:hanging="2088"/>
        <w:jc w:val="left"/>
      </w:pPr>
      <w:r>
        <w:tab/>
        <w:t>4/29/2015</w:t>
      </w:r>
      <w:r>
        <w:tab/>
        <w:t>House</w:t>
      </w:r>
      <w:r>
        <w:tab/>
      </w:r>
      <w:r w:rsidRPr="00AD4AA8">
        <w:t>Read third t</w:t>
      </w:r>
      <w:r>
        <w:t xml:space="preserve">ime and sent to Senate </w:t>
      </w:r>
      <w:r w:rsidRPr="00AD4AA8">
        <w:t>(</w:t>
      </w:r>
      <w:hyperlink r:id="rId12" w:history="1">
        <w:r w:rsidRPr="00F71B1B">
          <w:rPr>
            <w:rStyle w:val="Hyperlink"/>
          </w:rPr>
          <w:t>House Journal</w:t>
        </w:r>
        <w:r w:rsidRPr="00F71B1B">
          <w:rPr>
            <w:rStyle w:val="Hyperlink"/>
          </w:rPr>
          <w:noBreakHyphen/>
          <w:t>page 22</w:t>
        </w:r>
      </w:hyperlink>
      <w:r w:rsidRPr="00AD4AA8">
        <w:t>)</w:t>
      </w:r>
    </w:p>
    <w:p w:rsidR="00F331FE" w:rsidRDefault="00F331FE" w:rsidP="00F331FE">
      <w:pPr>
        <w:widowControl w:val="0"/>
        <w:tabs>
          <w:tab w:val="right" w:pos="1008"/>
          <w:tab w:val="left" w:pos="1152"/>
          <w:tab w:val="left" w:pos="1872"/>
          <w:tab w:val="left" w:pos="9187"/>
        </w:tabs>
        <w:ind w:left="2088" w:hanging="2088"/>
        <w:jc w:val="left"/>
      </w:pPr>
      <w:r>
        <w:tab/>
        <w:t>4/29/2015</w:t>
      </w:r>
      <w:r>
        <w:tab/>
        <w:t>House</w:t>
      </w:r>
      <w:r>
        <w:tab/>
      </w:r>
      <w:r w:rsidRPr="00AD4AA8">
        <w:t>Roll call Yeas</w:t>
      </w:r>
      <w:r>
        <w:noBreakHyphen/>
      </w:r>
      <w:r w:rsidRPr="00AD4AA8">
        <w:t>92  Nays</w:t>
      </w:r>
      <w:r>
        <w:noBreakHyphen/>
      </w:r>
      <w:r w:rsidRPr="00AD4AA8">
        <w:t>1 (</w:t>
      </w:r>
      <w:hyperlink r:id="rId13" w:history="1">
        <w:r w:rsidRPr="00F71B1B">
          <w:rPr>
            <w:rStyle w:val="Hyperlink"/>
          </w:rPr>
          <w:t>House Journal</w:t>
        </w:r>
        <w:r w:rsidRPr="00F71B1B">
          <w:rPr>
            <w:rStyle w:val="Hyperlink"/>
          </w:rPr>
          <w:noBreakHyphen/>
          <w:t>page 23</w:t>
        </w:r>
      </w:hyperlink>
      <w:r w:rsidRPr="00AD4AA8">
        <w:t>)</w:t>
      </w:r>
    </w:p>
    <w:p w:rsidR="00F331FE" w:rsidRDefault="00F331FE" w:rsidP="00F331FE">
      <w:pPr>
        <w:widowControl w:val="0"/>
        <w:tabs>
          <w:tab w:val="right" w:pos="1008"/>
          <w:tab w:val="left" w:pos="1152"/>
          <w:tab w:val="left" w:pos="1872"/>
          <w:tab w:val="left" w:pos="9187"/>
        </w:tabs>
        <w:ind w:left="2088" w:hanging="2088"/>
        <w:jc w:val="left"/>
      </w:pPr>
      <w:r>
        <w:tab/>
        <w:t>4/29/2015</w:t>
      </w:r>
      <w:r>
        <w:tab/>
        <w:t>Senate</w:t>
      </w:r>
      <w:r>
        <w:tab/>
      </w:r>
      <w:r w:rsidRPr="00AD4AA8">
        <w:t>Introduced and read first time (</w:t>
      </w:r>
      <w:hyperlink r:id="rId14" w:history="1">
        <w:r w:rsidRPr="00F71B1B">
          <w:rPr>
            <w:rStyle w:val="Hyperlink"/>
          </w:rPr>
          <w:t>Senate Journal</w:t>
        </w:r>
        <w:r w:rsidRPr="00F71B1B">
          <w:rPr>
            <w:rStyle w:val="Hyperlink"/>
          </w:rPr>
          <w:noBreakHyphen/>
          <w:t>page 17</w:t>
        </w:r>
      </w:hyperlink>
      <w:r w:rsidRPr="00AD4AA8">
        <w:t>)</w:t>
      </w:r>
    </w:p>
    <w:p w:rsidR="00F331FE" w:rsidRDefault="00F331FE" w:rsidP="00F331FE">
      <w:pPr>
        <w:widowControl w:val="0"/>
        <w:tabs>
          <w:tab w:val="right" w:pos="1008"/>
          <w:tab w:val="left" w:pos="1152"/>
          <w:tab w:val="left" w:pos="1872"/>
          <w:tab w:val="left" w:pos="9187"/>
        </w:tabs>
        <w:ind w:left="2088" w:hanging="2088"/>
        <w:jc w:val="left"/>
      </w:pPr>
      <w:r>
        <w:tab/>
        <w:t>4/29/2015</w:t>
      </w:r>
      <w:r>
        <w:tab/>
        <w:t>Senate</w:t>
      </w:r>
      <w:r>
        <w:tab/>
      </w:r>
      <w:r w:rsidRPr="00AD4AA8">
        <w:t>Referred to Comm</w:t>
      </w:r>
      <w:r>
        <w:t xml:space="preserve">ittee on </w:t>
      </w:r>
      <w:r w:rsidRPr="00AD4AA8">
        <w:rPr>
          <w:b/>
        </w:rPr>
        <w:t>Judiciary</w:t>
      </w:r>
      <w:r>
        <w:t xml:space="preserve"> </w:t>
      </w:r>
      <w:r w:rsidRPr="00AD4AA8">
        <w:t>(</w:t>
      </w:r>
      <w:hyperlink r:id="rId15" w:history="1">
        <w:r w:rsidRPr="00F71B1B">
          <w:rPr>
            <w:rStyle w:val="Hyperlink"/>
          </w:rPr>
          <w:t>Senate Journal</w:t>
        </w:r>
        <w:r w:rsidRPr="00F71B1B">
          <w:rPr>
            <w:rStyle w:val="Hyperlink"/>
          </w:rPr>
          <w:noBreakHyphen/>
          <w:t>page 17</w:t>
        </w:r>
      </w:hyperlink>
      <w:r w:rsidRPr="00AD4AA8">
        <w:t>)</w:t>
      </w:r>
    </w:p>
    <w:p w:rsidR="00F331FE" w:rsidRDefault="00F331FE" w:rsidP="00F331FE">
      <w:pPr>
        <w:widowControl w:val="0"/>
        <w:tabs>
          <w:tab w:val="right" w:pos="1008"/>
          <w:tab w:val="left" w:pos="1152"/>
          <w:tab w:val="left" w:pos="1872"/>
          <w:tab w:val="left" w:pos="9187"/>
        </w:tabs>
        <w:ind w:left="2088" w:hanging="2088"/>
        <w:jc w:val="left"/>
      </w:pPr>
    </w:p>
    <w:p w:rsidR="00BF25D9" w:rsidRDefault="00BF25D9" w:rsidP="00BF25D9">
      <w:pPr>
        <w:widowControl w:val="0"/>
        <w:tabs>
          <w:tab w:val="right" w:pos="1008"/>
          <w:tab w:val="left" w:pos="1152"/>
          <w:tab w:val="left" w:pos="1872"/>
          <w:tab w:val="left" w:pos="9187"/>
        </w:tabs>
        <w:ind w:left="2088" w:hanging="2088"/>
        <w:jc w:val="left"/>
      </w:pPr>
      <w:r>
        <w:t xml:space="preserve">View the latest </w:t>
      </w:r>
      <w:hyperlink r:id="rId16" w:history="1">
        <w:r w:rsidRPr="00BF25D9">
          <w:rPr>
            <w:rStyle w:val="Hyperlink"/>
          </w:rPr>
          <w:t>legislative information</w:t>
        </w:r>
      </w:hyperlink>
      <w:r>
        <w:t xml:space="preserve"> at the website</w:t>
      </w:r>
    </w:p>
    <w:p w:rsidR="00BF25D9" w:rsidRDefault="00BF25D9" w:rsidP="00BF25D9">
      <w:pPr>
        <w:widowControl w:val="0"/>
        <w:tabs>
          <w:tab w:val="right" w:pos="1008"/>
          <w:tab w:val="left" w:pos="1152"/>
          <w:tab w:val="left" w:pos="1872"/>
          <w:tab w:val="left" w:pos="9187"/>
        </w:tabs>
        <w:ind w:left="2088" w:hanging="2088"/>
        <w:jc w:val="left"/>
      </w:pPr>
    </w:p>
    <w:p w:rsidR="00BF25D9" w:rsidRPr="00BF25D9" w:rsidRDefault="00BF25D9" w:rsidP="00BF25D9">
      <w:pPr>
        <w:widowControl w:val="0"/>
        <w:tabs>
          <w:tab w:val="right" w:pos="1008"/>
          <w:tab w:val="left" w:pos="1152"/>
          <w:tab w:val="left" w:pos="1872"/>
          <w:tab w:val="left" w:pos="9187"/>
        </w:tabs>
        <w:ind w:left="2088" w:hanging="2088"/>
        <w:jc w:val="left"/>
      </w:pPr>
    </w:p>
    <w:p w:rsidR="00BF25D9" w:rsidRDefault="00BF25D9" w:rsidP="00BF25D9">
      <w:pPr>
        <w:widowControl w:val="0"/>
        <w:jc w:val="left"/>
      </w:pPr>
      <w:r w:rsidRPr="00BF25D9">
        <w:rPr>
          <w:b/>
        </w:rPr>
        <w:t>VERSIONS OF THIS BILL</w:t>
      </w:r>
    </w:p>
    <w:p w:rsidR="00BF25D9" w:rsidRDefault="00BF25D9" w:rsidP="00BF25D9">
      <w:pPr>
        <w:widowControl w:val="0"/>
        <w:jc w:val="left"/>
      </w:pPr>
    </w:p>
    <w:p w:rsidR="00BF25D9" w:rsidRDefault="00F71B1B" w:rsidP="00BF25D9">
      <w:pPr>
        <w:widowControl w:val="0"/>
        <w:jc w:val="left"/>
      </w:pPr>
      <w:hyperlink r:id="rId17" w:history="1">
        <w:r w:rsidR="00BF25D9">
          <w:rPr>
            <w:rStyle w:val="Hyperlink"/>
          </w:rPr>
          <w:t>4/14/2015</w:t>
        </w:r>
      </w:hyperlink>
    </w:p>
    <w:p w:rsidR="00BF25D9" w:rsidRDefault="00F71B1B" w:rsidP="00BF25D9">
      <w:hyperlink r:id="rId18" w:history="1">
        <w:r w:rsidR="00D718D3" w:rsidRPr="00D718D3">
          <w:rPr>
            <w:rStyle w:val="Hyperlink"/>
          </w:rPr>
          <w:t>4/22/2015</w:t>
        </w:r>
      </w:hyperlink>
    </w:p>
    <w:p w:rsidR="00D718D3" w:rsidRDefault="00F71B1B" w:rsidP="00BF25D9">
      <w:hyperlink r:id="rId19" w:history="1">
        <w:r w:rsidR="005D2435" w:rsidRPr="005D2435">
          <w:rPr>
            <w:rStyle w:val="Hyperlink"/>
          </w:rPr>
          <w:t>4/24/2015</w:t>
        </w:r>
      </w:hyperlink>
    </w:p>
    <w:p w:rsidR="005D2435" w:rsidRDefault="005D2435" w:rsidP="00BF25D9"/>
    <w:p w:rsidR="00BF25D9" w:rsidRDefault="00BF25D9" w:rsidP="00BF25D9">
      <w:pPr>
        <w:sectPr w:rsidR="00BF25D9" w:rsidSect="00BF25D9">
          <w:pgSz w:w="12240" w:h="15840" w:code="1"/>
          <w:pgMar w:top="1080" w:right="1440" w:bottom="1080" w:left="1440" w:header="720" w:footer="720" w:gutter="0"/>
          <w:cols w:space="720"/>
          <w:noEndnote/>
          <w:docGrid w:linePitch="360"/>
        </w:sectPr>
      </w:pPr>
    </w:p>
    <w:p w:rsidR="005D2435" w:rsidRDefault="005D24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5D2435" w:rsidRPr="009F2E78" w:rsidRDefault="005D24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D2435" w:rsidRDefault="005D24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435" w:rsidRDefault="005D24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D2435" w:rsidRDefault="005D24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2015</w:t>
      </w:r>
    </w:p>
    <w:p w:rsidR="005D2435" w:rsidRDefault="005D24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435" w:rsidRPr="009F2E78" w:rsidRDefault="005D2435" w:rsidP="009F2E78">
      <w:pPr>
        <w:tabs>
          <w:tab w:val="right" w:pos="5933"/>
        </w:tabs>
        <w:suppressAutoHyphens/>
      </w:pPr>
      <w:r>
        <w:tab/>
      </w:r>
      <w:r>
        <w:rPr>
          <w:b/>
          <w:sz w:val="36"/>
        </w:rPr>
        <w:t>H. 3979</w:t>
      </w:r>
    </w:p>
    <w:p w:rsidR="005D2435" w:rsidRDefault="005D24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435" w:rsidRDefault="005D24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Tallon, Bannister, Clary, Quinn, Loftis, Mitchell, Sottile, Collins, Burns, M.S. McLeod, Kennedy, Yow, Bedingfield, Hamilton, Duckworth, Johnson, Corley, King, Kirby, McEachern, Brannon, Horne, Southard, Alexander, Allison, Anderson, Anthony, Bales, Bamberg, Bernstein, Bingham, Bradley, Chumley, Cole, Crosby, Daning, Delleney, Erickson, Felder, Finlay, Funderburk, Gagnon, Gambrell, George, Hardee, Hardwick, Hart, Henderson, Herbkersman, Hicks, Hill, Hixon, Howard, Huggins, Limehouse, Long, Lowe, Lucas, McCoy, Merrill, D.C. Moss, V.S. Moss, Murphy, Nanney, Newton, Norman, Norrell, Ott, Pope, Putnam, Ridgeway, Riley, Rivers, Rutherford, Ryhal, Sandifer, Simrill, G.R. Smith, Spires, Stavrinakis, Stringer, Taylor, Thayer, Tinkler, Toole, Weeks, Wells, White, Whitmire, Willis, G.M. Smith and Pitts</w:t>
      </w:r>
    </w:p>
    <w:p w:rsidR="005D2435" w:rsidRDefault="005D24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435" w:rsidRDefault="005D2435" w:rsidP="005557E7">
      <w:pPr>
        <w:tabs>
          <w:tab w:val="right" w:pos="5933"/>
        </w:tabs>
        <w:suppressAutoHyphens/>
      </w:pPr>
      <w:r>
        <w:t>S. Printed 4/22/15--H.</w:t>
      </w:r>
      <w:r>
        <w:tab/>
        <w:t>[SEC 4/24/15 4:26 PM]</w:t>
      </w:r>
    </w:p>
    <w:p w:rsidR="005D2435" w:rsidRDefault="005D24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5D2435" w:rsidRPr="009F2E78" w:rsidRDefault="005D2435"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2435" w:rsidRDefault="005D24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435" w:rsidRPr="009F2E78" w:rsidRDefault="005D2435"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D2435" w:rsidRDefault="005D24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3979) </w:t>
      </w:r>
      <w:r w:rsidRPr="009F2E78">
        <w:rPr>
          <w:rFonts w:eastAsia="Calibri"/>
          <w:color w:val="000000"/>
          <w:u w:color="000000"/>
        </w:rPr>
        <w:t>to amend Sections 2</w:t>
      </w:r>
      <w:r w:rsidRPr="009F2E78">
        <w:rPr>
          <w:color w:val="000000" w:themeColor="text1"/>
          <w:u w:color="000000" w:themeColor="text1"/>
        </w:rPr>
        <w:noBreakHyphen/>
      </w:r>
      <w:r w:rsidRPr="009F2E78">
        <w:rPr>
          <w:rFonts w:eastAsia="Calibri"/>
          <w:color w:val="000000"/>
          <w:u w:color="000000"/>
        </w:rPr>
        <w:t>19</w:t>
      </w:r>
      <w:r w:rsidRPr="009F2E78">
        <w:rPr>
          <w:color w:val="000000" w:themeColor="text1"/>
          <w:u w:color="000000" w:themeColor="text1"/>
        </w:rPr>
        <w:noBreakHyphen/>
      </w:r>
      <w:r w:rsidRPr="009F2E78">
        <w:rPr>
          <w:rFonts w:eastAsia="Calibri"/>
          <w:color w:val="000000"/>
          <w:u w:color="000000"/>
        </w:rPr>
        <w:t>10, 2</w:t>
      </w:r>
      <w:r w:rsidRPr="009F2E78">
        <w:rPr>
          <w:color w:val="000000" w:themeColor="text1"/>
          <w:u w:color="000000" w:themeColor="text1"/>
        </w:rPr>
        <w:noBreakHyphen/>
      </w:r>
      <w:r w:rsidRPr="009F2E78">
        <w:rPr>
          <w:rFonts w:eastAsia="Calibri"/>
          <w:color w:val="000000"/>
          <w:u w:color="000000"/>
        </w:rPr>
        <w:t>19</w:t>
      </w:r>
      <w:r w:rsidRPr="009F2E78">
        <w:rPr>
          <w:color w:val="000000" w:themeColor="text1"/>
          <w:u w:color="000000" w:themeColor="text1"/>
        </w:rPr>
        <w:noBreakHyphen/>
      </w:r>
      <w:r w:rsidRPr="009F2E78">
        <w:rPr>
          <w:rFonts w:eastAsia="Calibri"/>
          <w:color w:val="000000"/>
          <w:u w:color="000000"/>
        </w:rPr>
        <w:t>20, 2</w:t>
      </w:r>
      <w:r w:rsidRPr="009F2E78">
        <w:rPr>
          <w:color w:val="000000" w:themeColor="text1"/>
          <w:u w:color="000000" w:themeColor="text1"/>
        </w:rPr>
        <w:noBreakHyphen/>
      </w:r>
      <w:r w:rsidRPr="009F2E78">
        <w:rPr>
          <w:rFonts w:eastAsia="Calibri"/>
          <w:color w:val="000000"/>
          <w:u w:color="000000"/>
        </w:rPr>
        <w:t>19</w:t>
      </w:r>
      <w:r w:rsidRPr="009F2E78">
        <w:rPr>
          <w:color w:val="000000" w:themeColor="text1"/>
          <w:u w:color="000000" w:themeColor="text1"/>
        </w:rPr>
        <w:noBreakHyphen/>
      </w:r>
      <w:r w:rsidRPr="009F2E78">
        <w:rPr>
          <w:rFonts w:eastAsia="Calibri"/>
          <w:color w:val="000000"/>
          <w:u w:color="000000"/>
        </w:rPr>
        <w:t>35, 2</w:t>
      </w:r>
      <w:r w:rsidRPr="009F2E78">
        <w:rPr>
          <w:color w:val="000000" w:themeColor="text1"/>
          <w:u w:color="000000" w:themeColor="text1"/>
        </w:rPr>
        <w:noBreakHyphen/>
      </w:r>
      <w:r w:rsidRPr="009F2E78">
        <w:rPr>
          <w:rFonts w:eastAsia="Calibri"/>
          <w:color w:val="000000"/>
          <w:u w:color="000000"/>
        </w:rPr>
        <w:t>19</w:t>
      </w:r>
      <w:r w:rsidRPr="009F2E78">
        <w:rPr>
          <w:color w:val="000000" w:themeColor="text1"/>
          <w:u w:color="000000" w:themeColor="text1"/>
        </w:rPr>
        <w:noBreakHyphen/>
      </w:r>
      <w:r w:rsidRPr="009F2E78">
        <w:rPr>
          <w:rFonts w:eastAsia="Calibri"/>
          <w:color w:val="000000"/>
          <w:u w:color="000000"/>
        </w:rPr>
        <w:t>70, 2</w:t>
      </w:r>
      <w:r w:rsidRPr="009F2E78">
        <w:rPr>
          <w:color w:val="000000" w:themeColor="text1"/>
          <w:u w:color="000000" w:themeColor="text1"/>
        </w:rPr>
        <w:noBreakHyphen/>
      </w:r>
      <w:r w:rsidRPr="009F2E78">
        <w:rPr>
          <w:rFonts w:eastAsia="Calibri"/>
          <w:color w:val="000000"/>
          <w:u w:color="000000"/>
        </w:rPr>
        <w:t>19</w:t>
      </w:r>
      <w:r w:rsidRPr="009F2E78">
        <w:rPr>
          <w:color w:val="000000" w:themeColor="text1"/>
          <w:u w:color="000000" w:themeColor="text1"/>
        </w:rPr>
        <w:noBreakHyphen/>
      </w:r>
      <w:r w:rsidRPr="009F2E78">
        <w:rPr>
          <w:rFonts w:eastAsia="Calibri"/>
          <w:color w:val="000000"/>
          <w:u w:color="000000"/>
        </w:rPr>
        <w:t>80</w:t>
      </w:r>
      <w:r>
        <w:t>, and 2</w:t>
      </w:r>
      <w:r w:rsidRPr="009F2E78">
        <w:rPr>
          <w:color w:val="000000" w:themeColor="text1"/>
          <w:u w:color="000000" w:themeColor="text1"/>
        </w:rPr>
        <w:noBreakHyphen/>
      </w:r>
      <w:r>
        <w:t>19</w:t>
      </w:r>
      <w:r w:rsidRPr="009F2E78">
        <w:rPr>
          <w:color w:val="000000" w:themeColor="text1"/>
          <w:u w:color="000000" w:themeColor="text1"/>
        </w:rPr>
        <w:noBreakHyphen/>
      </w:r>
      <w:r>
        <w:t>90, Code of Laws of South Carolina, 1976, all relating to the Judicial Merit, etc., respectfully</w:t>
      </w:r>
    </w:p>
    <w:p w:rsidR="005D2435" w:rsidRPr="009F2E78" w:rsidRDefault="005D2435"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D2435" w:rsidRDefault="005D24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D2435" w:rsidRDefault="005D24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435" w:rsidRPr="009F0550" w:rsidRDefault="005D2435"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F0550">
        <w:t>Amend the bill, as and if amended, SECTION 4, Page 3, by deleting section 2</w:t>
      </w:r>
      <w:r w:rsidRPr="009F0550">
        <w:noBreakHyphen/>
        <w:t>19</w:t>
      </w:r>
      <w:r w:rsidRPr="009F0550">
        <w:noBreakHyphen/>
        <w:t>70(A) and inserting:</w:t>
      </w:r>
    </w:p>
    <w:p w:rsidR="005D2435" w:rsidRPr="009F0550" w:rsidRDefault="005D2435"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tab/>
      </w:r>
      <w:r w:rsidRPr="009F0550">
        <w:t>/</w:t>
      </w:r>
      <w:r w:rsidRPr="009F0550">
        <w:tab/>
        <w:t>“</w:t>
      </w:r>
      <w:r w:rsidRPr="009F0550">
        <w:rPr>
          <w:rFonts w:eastAsia="Calibri"/>
          <w:u w:color="000000"/>
        </w:rPr>
        <w:t>(A)</w:t>
      </w:r>
      <w:r w:rsidRPr="009F0550">
        <w:rPr>
          <w:rFonts w:eastAsia="Calibri"/>
          <w:u w:color="000000"/>
        </w:rPr>
        <w:tab/>
      </w:r>
      <w:r w:rsidRPr="009F0550">
        <w:rPr>
          <w:rFonts w:eastAsia="Calibri"/>
          <w:strike/>
          <w:u w:color="000000"/>
        </w:rPr>
        <w:t>No</w:t>
      </w:r>
      <w:r w:rsidRPr="009F0550">
        <w:rPr>
          <w:rFonts w:eastAsia="Calibri"/>
          <w:u w:color="000000"/>
        </w:rPr>
        <w:t xml:space="preserve"> </w:t>
      </w:r>
      <w:r w:rsidRPr="009F0550">
        <w:rPr>
          <w:rFonts w:eastAsia="Calibri"/>
          <w:u w:val="single"/>
        </w:rPr>
        <w:t>A</w:t>
      </w:r>
      <w:r w:rsidRPr="009F0550">
        <w:rPr>
          <w:rFonts w:eastAsia="Calibri"/>
        </w:rPr>
        <w:t xml:space="preserve"> </w:t>
      </w:r>
      <w:r w:rsidRPr="009F0550">
        <w:rPr>
          <w:rFonts w:eastAsia="Calibri"/>
          <w:u w:color="000000"/>
        </w:rPr>
        <w:t xml:space="preserve">member of the General Assembly may </w:t>
      </w:r>
      <w:r w:rsidRPr="009F0550">
        <w:rPr>
          <w:rFonts w:eastAsia="Calibri"/>
          <w:u w:val="single"/>
        </w:rPr>
        <w:t>not</w:t>
      </w:r>
      <w:r w:rsidRPr="009F0550">
        <w:rPr>
          <w:rFonts w:eastAsia="Calibri"/>
        </w:rPr>
        <w:t xml:space="preserve"> </w:t>
      </w:r>
      <w:r w:rsidRPr="009F0550">
        <w:rPr>
          <w:rFonts w:eastAsia="Calibri"/>
          <w:u w:color="000000"/>
        </w:rPr>
        <w:t>be elected to a judicial office while he is serving in the General Assembly nor shall that person be elected to a judicial office for a period of one year after he either:</w:t>
      </w:r>
    </w:p>
    <w:p w:rsidR="005D2435" w:rsidRPr="009F0550" w:rsidRDefault="005D2435"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0550">
        <w:rPr>
          <w:rFonts w:eastAsia="Calibri"/>
          <w:u w:color="000000"/>
        </w:rPr>
        <w:lastRenderedPageBreak/>
        <w:tab/>
      </w:r>
      <w:r w:rsidRPr="009F0550">
        <w:rPr>
          <w:rFonts w:eastAsia="Calibri"/>
          <w:u w:color="000000"/>
        </w:rPr>
        <w:tab/>
        <w:t>(1)</w:t>
      </w:r>
      <w:r w:rsidRPr="009F0550">
        <w:rPr>
          <w:rFonts w:eastAsia="Calibri"/>
          <w:u w:color="000000"/>
        </w:rPr>
        <w:tab/>
        <w:t>ceases to be a member of the General Assembly; or</w:t>
      </w:r>
    </w:p>
    <w:p w:rsidR="005D2435" w:rsidRPr="009F0550" w:rsidRDefault="005D2435"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0550">
        <w:rPr>
          <w:rFonts w:eastAsia="Calibri"/>
          <w:u w:color="000000"/>
        </w:rPr>
        <w:tab/>
      </w:r>
      <w:r w:rsidRPr="009F0550">
        <w:rPr>
          <w:rFonts w:eastAsia="Calibri"/>
          <w:u w:color="000000"/>
        </w:rPr>
        <w:tab/>
        <w:t>(2)</w:t>
      </w:r>
      <w:r w:rsidRPr="009F0550">
        <w:rPr>
          <w:rFonts w:eastAsia="Calibri"/>
          <w:u w:color="000000"/>
        </w:rPr>
        <w:tab/>
        <w:t>fails to file for election to the General Assembly in accordance with Section 7</w:t>
      </w:r>
      <w:r w:rsidRPr="009F0550">
        <w:rPr>
          <w:u w:color="000000" w:themeColor="text1"/>
        </w:rPr>
        <w:noBreakHyphen/>
      </w:r>
      <w:r w:rsidRPr="009F0550">
        <w:rPr>
          <w:rFonts w:eastAsia="Calibri"/>
          <w:u w:color="000000"/>
        </w:rPr>
        <w:t>11</w:t>
      </w:r>
      <w:r w:rsidRPr="009F0550">
        <w:rPr>
          <w:u w:color="000000" w:themeColor="text1"/>
        </w:rPr>
        <w:noBreakHyphen/>
      </w:r>
      <w:r w:rsidRPr="009F0550">
        <w:rPr>
          <w:rFonts w:eastAsia="Calibri"/>
          <w:u w:color="000000"/>
        </w:rPr>
        <w:t>15.</w:t>
      </w:r>
    </w:p>
    <w:p w:rsidR="005D2435" w:rsidRPr="009F0550" w:rsidRDefault="005D2435"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0550">
        <w:rPr>
          <w:rFonts w:eastAsia="Calibri"/>
          <w:u w:color="000000"/>
        </w:rPr>
        <w:tab/>
      </w:r>
      <w:r w:rsidRPr="009F0550">
        <w:rPr>
          <w:rFonts w:eastAsia="Calibri"/>
          <w:u w:val="single"/>
        </w:rPr>
        <w:t>Provided, however, a member of the General Assembly is not ineligible to be elected to an at</w:t>
      </w:r>
      <w:r w:rsidRPr="009F0550">
        <w:rPr>
          <w:rFonts w:eastAsia="Calibri"/>
          <w:u w:val="single"/>
        </w:rPr>
        <w:noBreakHyphen/>
        <w:t>large judicial office.</w:t>
      </w:r>
      <w:r w:rsidRPr="009F0550">
        <w:t xml:space="preserve">”/ </w:t>
      </w:r>
    </w:p>
    <w:p w:rsidR="005D2435" w:rsidRPr="009F0550" w:rsidRDefault="005D2435"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F0550">
        <w:t>Amend the bill further, Page 6, after Line 9, by adding an appropriately numbered SECTION TO READ:</w:t>
      </w:r>
    </w:p>
    <w:p w:rsidR="005D2435" w:rsidRPr="009F0550" w:rsidRDefault="005D2435"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tab/>
      </w:r>
      <w:r w:rsidRPr="009F0550">
        <w:t>/</w:t>
      </w:r>
      <w:r w:rsidRPr="009F0550">
        <w:tab/>
      </w:r>
      <w:bookmarkStart w:id="1" w:name="temp"/>
      <w:bookmarkEnd w:id="1"/>
      <w:r w:rsidRPr="009F0550">
        <w:t>SECTION</w:t>
      </w:r>
      <w:r w:rsidRPr="009F0550">
        <w:tab/>
        <w:t>__.</w:t>
      </w:r>
      <w:r w:rsidRPr="009F0550">
        <w:tab/>
        <w:t>Section 1</w:t>
      </w:r>
      <w:r w:rsidRPr="009F0550">
        <w:noBreakHyphen/>
        <w:t>23</w:t>
      </w:r>
      <w:r w:rsidRPr="009F0550">
        <w:noBreakHyphen/>
        <w:t>525 of the 1976 Code is repealed.  /</w:t>
      </w:r>
    </w:p>
    <w:p w:rsidR="005D2435" w:rsidRPr="009F0550" w:rsidRDefault="005D2435"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F0550">
        <w:t>Renumber sections to conform.</w:t>
      </w:r>
    </w:p>
    <w:p w:rsidR="005D2435" w:rsidRDefault="005D2435"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F0550">
        <w:t>Amend title to conform.</w:t>
      </w:r>
    </w:p>
    <w:p w:rsidR="005D2435" w:rsidRPr="009F0550" w:rsidRDefault="005D2435"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2435" w:rsidRDefault="005D24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5D2435" w:rsidRPr="009F2E78" w:rsidRDefault="005D2435"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2435" w:rsidRDefault="005D24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2435" w:rsidSect="009F2E78">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5D2435" w:rsidRDefault="005D24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435" w:rsidRDefault="005D24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435" w:rsidRDefault="005D24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435" w:rsidRDefault="005D24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435" w:rsidRDefault="005D24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435" w:rsidRDefault="005D24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435" w:rsidRDefault="005D24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435" w:rsidRDefault="005D24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435" w:rsidRPr="00325348" w:rsidRDefault="005D2435" w:rsidP="008A1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5D2435" w:rsidRDefault="005D243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435" w:rsidRDefault="005D2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Pr>
          <w:rFonts w:eastAsia="Calibri"/>
          <w:color w:val="000000"/>
          <w:u w:color="000000"/>
        </w:rPr>
        <w:t>TO AMEND SECTIONS 2</w:t>
      </w:r>
      <w:r>
        <w:rPr>
          <w:color w:val="000000" w:themeColor="text1"/>
          <w:u w:color="000000" w:themeColor="text1"/>
        </w:rPr>
        <w:noBreakHyphen/>
      </w:r>
      <w:r>
        <w:rPr>
          <w:rFonts w:eastAsia="Calibri"/>
          <w:color w:val="000000"/>
          <w:u w:color="000000"/>
        </w:rPr>
        <w:t>19</w:t>
      </w:r>
      <w:r>
        <w:rPr>
          <w:color w:val="000000" w:themeColor="text1"/>
          <w:u w:color="000000" w:themeColor="text1"/>
        </w:rPr>
        <w:noBreakHyphen/>
      </w:r>
      <w:r>
        <w:rPr>
          <w:rFonts w:eastAsia="Calibri"/>
          <w:color w:val="000000"/>
          <w:u w:color="000000"/>
        </w:rPr>
        <w:t>10, 2</w:t>
      </w:r>
      <w:r>
        <w:rPr>
          <w:color w:val="000000" w:themeColor="text1"/>
          <w:u w:color="000000" w:themeColor="text1"/>
        </w:rPr>
        <w:noBreakHyphen/>
      </w:r>
      <w:r>
        <w:rPr>
          <w:rFonts w:eastAsia="Calibri"/>
          <w:color w:val="000000"/>
          <w:u w:color="000000"/>
        </w:rPr>
        <w:t>19</w:t>
      </w:r>
      <w:r>
        <w:rPr>
          <w:color w:val="000000" w:themeColor="text1"/>
          <w:u w:color="000000" w:themeColor="text1"/>
        </w:rPr>
        <w:noBreakHyphen/>
      </w:r>
      <w:r>
        <w:rPr>
          <w:rFonts w:eastAsia="Calibri"/>
          <w:color w:val="000000"/>
          <w:u w:color="000000"/>
        </w:rPr>
        <w:t>20, 2</w:t>
      </w:r>
      <w:r>
        <w:rPr>
          <w:color w:val="000000" w:themeColor="text1"/>
          <w:u w:color="000000" w:themeColor="text1"/>
        </w:rPr>
        <w:noBreakHyphen/>
      </w:r>
      <w:r>
        <w:rPr>
          <w:rFonts w:eastAsia="Calibri"/>
          <w:color w:val="000000"/>
          <w:u w:color="000000"/>
        </w:rPr>
        <w:t>19</w:t>
      </w:r>
      <w:r>
        <w:rPr>
          <w:color w:val="000000" w:themeColor="text1"/>
          <w:u w:color="000000" w:themeColor="text1"/>
        </w:rPr>
        <w:noBreakHyphen/>
      </w:r>
      <w:r>
        <w:rPr>
          <w:rFonts w:eastAsia="Calibri"/>
          <w:color w:val="000000"/>
          <w:u w:color="000000"/>
        </w:rPr>
        <w:t>35, 2</w:t>
      </w:r>
      <w:r>
        <w:rPr>
          <w:color w:val="000000" w:themeColor="text1"/>
          <w:u w:color="000000" w:themeColor="text1"/>
        </w:rPr>
        <w:noBreakHyphen/>
      </w:r>
      <w:r>
        <w:rPr>
          <w:rFonts w:eastAsia="Calibri"/>
          <w:color w:val="000000"/>
          <w:u w:color="000000"/>
        </w:rPr>
        <w:t>19</w:t>
      </w:r>
      <w:r>
        <w:rPr>
          <w:color w:val="000000" w:themeColor="text1"/>
          <w:u w:color="000000" w:themeColor="text1"/>
        </w:rPr>
        <w:noBreakHyphen/>
      </w:r>
      <w:r>
        <w:rPr>
          <w:rFonts w:eastAsia="Calibri"/>
          <w:color w:val="000000"/>
          <w:u w:color="000000"/>
        </w:rPr>
        <w:t>70, 2</w:t>
      </w:r>
      <w:r>
        <w:rPr>
          <w:color w:val="000000" w:themeColor="text1"/>
          <w:u w:color="000000" w:themeColor="text1"/>
        </w:rPr>
        <w:noBreakHyphen/>
      </w:r>
      <w:r>
        <w:rPr>
          <w:rFonts w:eastAsia="Calibri"/>
          <w:color w:val="000000"/>
          <w:u w:color="000000"/>
        </w:rPr>
        <w:t>19</w:t>
      </w:r>
      <w:r>
        <w:rPr>
          <w:color w:val="000000" w:themeColor="text1"/>
          <w:u w:color="000000" w:themeColor="text1"/>
        </w:rPr>
        <w:noBreakHyphen/>
      </w:r>
      <w:r>
        <w:rPr>
          <w:rFonts w:eastAsia="Calibri"/>
          <w:color w:val="000000"/>
          <w:u w:color="000000"/>
        </w:rPr>
        <w:t>80, AND 2</w:t>
      </w:r>
      <w:r>
        <w:rPr>
          <w:color w:val="000000" w:themeColor="text1"/>
          <w:u w:color="000000" w:themeColor="text1"/>
        </w:rPr>
        <w:noBreakHyphen/>
      </w:r>
      <w:r>
        <w:rPr>
          <w:rFonts w:eastAsia="Calibri"/>
          <w:color w:val="000000"/>
          <w:u w:color="000000"/>
        </w:rPr>
        <w:t>19</w:t>
      </w:r>
      <w:r>
        <w:rPr>
          <w:color w:val="000000" w:themeColor="text1"/>
          <w:u w:color="000000" w:themeColor="text1"/>
        </w:rPr>
        <w:noBreakHyphen/>
      </w:r>
      <w:r>
        <w:rPr>
          <w:rFonts w:eastAsia="Calibri"/>
          <w:color w:val="000000"/>
          <w:u w:color="000000"/>
        </w:rPr>
        <w:t>90, CODE OF LAWS OF SOUTH CAROLINA, 1976, ALL RELATING TO THE JUDICIAL MERIT SELECTION COMMISSION, SO AS TO CHANGE THE COMMISSION</w:t>
      </w:r>
      <w:r>
        <w:rPr>
          <w:color w:val="000000" w:themeColor="text1"/>
          <w:u w:color="000000" w:themeColor="text1"/>
        </w:rPr>
        <w:t>’</w:t>
      </w:r>
      <w:r>
        <w:rPr>
          <w:rFonts w:eastAsia="Calibri"/>
          <w:color w:val="000000"/>
          <w:u w:color="000000"/>
        </w:rPr>
        <w:t>S PROCESS FOR NOMINATING JUDICIAL CANDIDATES FROM THE NOMINATION OF THREE QUALIFIED CANDIDATES TO THE RELEASE OF A LIST OF ALL QUALIFIED CANDIDATES TO THE GENERAL ASSEMBLY.</w:t>
      </w:r>
    </w:p>
    <w:p w:rsidR="005D2435" w:rsidRDefault="005D2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D2435" w:rsidRDefault="005D2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2435" w:rsidRDefault="005D2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t>SECTION</w:t>
      </w:r>
      <w:r>
        <w:tab/>
        <w:t>1.</w:t>
      </w:r>
      <w:r>
        <w:tab/>
      </w:r>
      <w:r>
        <w:rPr>
          <w:bCs/>
          <w:color w:val="000000" w:themeColor="text1"/>
          <w:u w:color="000000" w:themeColor="text1"/>
        </w:rPr>
        <w:t>S</w:t>
      </w:r>
      <w:r>
        <w:rPr>
          <w:rFonts w:eastAsia="Calibri"/>
          <w:bCs/>
          <w:color w:val="000000"/>
          <w:u w:color="000000"/>
        </w:rPr>
        <w:t>ection 2</w:t>
      </w:r>
      <w:r>
        <w:rPr>
          <w:bCs/>
          <w:color w:val="000000" w:themeColor="text1"/>
          <w:u w:color="000000" w:themeColor="text1"/>
        </w:rPr>
        <w:noBreakHyphen/>
      </w:r>
      <w:r>
        <w:rPr>
          <w:rFonts w:eastAsia="Calibri"/>
          <w:bCs/>
          <w:color w:val="000000"/>
          <w:u w:color="000000"/>
        </w:rPr>
        <w:t>19</w:t>
      </w:r>
      <w:r>
        <w:rPr>
          <w:bCs/>
          <w:color w:val="000000" w:themeColor="text1"/>
          <w:u w:color="000000" w:themeColor="text1"/>
        </w:rPr>
        <w:noBreakHyphen/>
      </w:r>
      <w:r>
        <w:rPr>
          <w:rFonts w:eastAsia="Calibri"/>
          <w:bCs/>
          <w:color w:val="000000"/>
          <w:u w:color="000000"/>
        </w:rPr>
        <w:t>10(G) of the 1976 Code is amended to read:</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p>
    <w:p w:rsidR="005D2435" w:rsidRDefault="005D2435" w:rsidP="00720C7E">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color w:val="000000" w:themeColor="text1"/>
          <w:u w:color="000000" w:themeColor="text1"/>
        </w:rPr>
        <w:t>“</w:t>
      </w:r>
      <w:r>
        <w:rPr>
          <w:rFonts w:eastAsia="Calibri"/>
          <w:color w:val="000000"/>
          <w:u w:color="000000"/>
        </w:rPr>
        <w:t>(G)</w:t>
      </w:r>
      <w:r>
        <w:rPr>
          <w:rFonts w:eastAsia="Calibri"/>
          <w:color w:val="000000"/>
          <w:u w:color="000000"/>
        </w:rPr>
        <w:tab/>
        <w:t xml:space="preserve">No member of the Judicial Merit Selection Commission is eligible for </w:t>
      </w:r>
      <w:r>
        <w:rPr>
          <w:rFonts w:eastAsia="Calibri"/>
          <w:strike/>
          <w:color w:val="000000"/>
          <w:u w:color="000000"/>
        </w:rPr>
        <w:t>nomination</w:t>
      </w:r>
      <w:r>
        <w:rPr>
          <w:rFonts w:eastAsia="Calibri"/>
          <w:color w:val="000000"/>
          <w:u w:color="000000"/>
        </w:rPr>
        <w:t xml:space="preserve"> </w:t>
      </w:r>
      <w:r>
        <w:rPr>
          <w:rFonts w:eastAsia="Calibri"/>
          <w:color w:val="000000"/>
          <w:u w:val="single" w:color="000000"/>
        </w:rPr>
        <w:t>election</w:t>
      </w:r>
      <w:r>
        <w:rPr>
          <w:rFonts w:eastAsia="Calibri"/>
          <w:color w:val="000000"/>
          <w:u w:color="000000"/>
        </w:rPr>
        <w:t xml:space="preserve"> and appointment as a judge or justice of the state court system or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while serving on the commission and for a period of one year thereafter.</w:t>
      </w:r>
      <w:r>
        <w:rPr>
          <w:color w:val="000000" w:themeColor="text1"/>
          <w:u w:color="000000" w:themeColor="text1"/>
        </w:rPr>
        <w:t>”</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2.</w:t>
      </w:r>
      <w:r>
        <w:rPr>
          <w:rFonts w:eastAsia="Calibri"/>
          <w:bCs/>
          <w:color w:val="000000"/>
          <w:u w:color="000000"/>
        </w:rPr>
        <w:tab/>
        <w:t>Section 2</w:t>
      </w:r>
      <w:r>
        <w:rPr>
          <w:bCs/>
          <w:color w:val="000000" w:themeColor="text1"/>
          <w:u w:color="000000" w:themeColor="text1"/>
        </w:rPr>
        <w:noBreakHyphen/>
      </w:r>
      <w:r>
        <w:rPr>
          <w:rFonts w:eastAsia="Calibri"/>
          <w:bCs/>
          <w:color w:val="000000"/>
          <w:u w:color="000000"/>
        </w:rPr>
        <w:t>19</w:t>
      </w:r>
      <w:r>
        <w:rPr>
          <w:bCs/>
          <w:color w:val="000000" w:themeColor="text1"/>
          <w:u w:color="000000" w:themeColor="text1"/>
        </w:rPr>
        <w:noBreakHyphen/>
      </w:r>
      <w:r>
        <w:rPr>
          <w:rFonts w:eastAsia="Calibri"/>
          <w:bCs/>
          <w:color w:val="000000"/>
          <w:u w:color="000000"/>
        </w:rPr>
        <w:t>20 of the 1976 Code is amended to read:</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color w:val="000000" w:themeColor="text1"/>
          <w:u w:color="000000" w:themeColor="text1"/>
        </w:rPr>
        <w:t>“Section 2-19-20.</w:t>
      </w:r>
      <w:r>
        <w:rPr>
          <w:color w:val="000000" w:themeColor="text1"/>
          <w:u w:color="000000" w:themeColor="text1"/>
        </w:rPr>
        <w:tab/>
      </w:r>
      <w:r>
        <w:rPr>
          <w:rFonts w:eastAsia="Calibri"/>
          <w:color w:val="000000"/>
          <w:u w:color="000000"/>
        </w:rPr>
        <w:t xml:space="preserve">(A) It is the responsibility of the Judicial Merit Selection Commission to determine when judicial vacancies are to occur in the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and on the family court, circuit court, court of appeals, or Supreme Court and to expeditiously investigate in advance the qualifications of those who seek </w:t>
      </w:r>
      <w:r>
        <w:rPr>
          <w:rFonts w:eastAsia="Calibri"/>
          <w:strike/>
          <w:color w:val="000000"/>
          <w:u w:color="000000"/>
        </w:rPr>
        <w:t>nomination</w:t>
      </w:r>
      <w:r>
        <w:rPr>
          <w:rFonts w:eastAsia="Calibri"/>
          <w:color w:val="000000"/>
          <w:u w:color="000000"/>
        </w:rPr>
        <w:t xml:space="preserve"> </w:t>
      </w:r>
      <w:r>
        <w:rPr>
          <w:rFonts w:eastAsia="Calibri"/>
          <w:color w:val="000000"/>
          <w:u w:val="single" w:color="000000"/>
        </w:rPr>
        <w:t>election</w:t>
      </w:r>
      <w:r>
        <w:rPr>
          <w:rFonts w:eastAsia="Calibri"/>
          <w:color w:val="000000"/>
          <w:u w:color="000000"/>
        </w:rPr>
        <w:t xml:space="preserve">.  For purposes of this chapter, a vacancy is created in the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or on the family court, circuit court, court of appeals, or Supreme Court when any of the following occurs:  a term expires; a new judicial position is created; or a judge can no longer serve due to resignation, retirement, disciplinary action, disability, or death. </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(B)</w:t>
      </w:r>
      <w:r>
        <w:rPr>
          <w:rFonts w:eastAsia="Calibri"/>
          <w:color w:val="000000"/>
          <w:u w:color="000000"/>
        </w:rPr>
        <w:tab/>
        <w:t>The commission, upon receiving notice of a judicial vacancy, ascertaining that a judicial vacancy shall occur, or receiving the decision of an incumbent judge regarding his seeking re</w:t>
      </w:r>
      <w:r>
        <w:rPr>
          <w:color w:val="000000" w:themeColor="text1"/>
          <w:u w:color="000000" w:themeColor="text1"/>
        </w:rPr>
        <w:noBreakHyphen/>
      </w:r>
      <w:r>
        <w:rPr>
          <w:rFonts w:eastAsia="Calibri"/>
          <w:color w:val="000000"/>
          <w:u w:color="000000"/>
        </w:rPr>
        <w:t xml:space="preserve">election, shall notify the Supreme Court of the vacancy for publication in the advance sheets provided by the Clerk of the Supreme Court at least thirty days prior to closing applications for the vacancy.  The commission </w:t>
      </w:r>
      <w:r>
        <w:rPr>
          <w:rFonts w:eastAsia="Calibri"/>
          <w:color w:val="000000"/>
          <w:u w:val="single" w:color="000000"/>
        </w:rPr>
        <w:t>also</w:t>
      </w:r>
      <w:r>
        <w:rPr>
          <w:rFonts w:eastAsia="Calibri"/>
          <w:color w:val="000000"/>
          <w:u w:color="000000"/>
        </w:rPr>
        <w:t xml:space="preserve"> shall </w:t>
      </w:r>
      <w:r>
        <w:rPr>
          <w:rFonts w:eastAsia="Calibri"/>
          <w:color w:val="000000"/>
          <w:u w:val="single" w:color="000000"/>
        </w:rPr>
        <w:t>notify</w:t>
      </w:r>
      <w:r>
        <w:rPr>
          <w:rFonts w:eastAsia="Calibri"/>
          <w:color w:val="000000"/>
          <w:u w:color="000000"/>
        </w:rPr>
        <w:t xml:space="preserve">, if practicable, </w:t>
      </w:r>
      <w:r w:rsidRPr="00720C7E">
        <w:rPr>
          <w:rFonts w:eastAsia="Calibri"/>
          <w:strike/>
          <w:color w:val="000000"/>
          <w:u w:color="000000"/>
        </w:rPr>
        <w:t>also notify</w:t>
      </w:r>
      <w:r>
        <w:rPr>
          <w:rFonts w:eastAsia="Calibri"/>
          <w:color w:val="000000"/>
          <w:u w:color="000000"/>
        </w:rPr>
        <w:t xml:space="preserve"> the South Carolina Bar, other professional legal organizations it considers appropriate, and each newspaper of this State with daily circulation of the vacancy at least thirty days prior to closing applications for the vacancy.  This notice must include, but not be limited to, the judicial office in which the vacancy occurs, the address to which, and the date by which interested candidates may apply.</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(C)</w:t>
      </w:r>
      <w:r>
        <w:rPr>
          <w:rFonts w:eastAsia="Calibri"/>
          <w:color w:val="000000"/>
          <w:u w:color="000000"/>
        </w:rPr>
        <w:tab/>
        <w:t xml:space="preserve">The Judicial Merit Selection Commission shall announce and publicize vacancies and forthcoming vacancies in the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on the family court, circuit court, court of appeals, and Supreme Court. A person who desires to be considered for </w:t>
      </w:r>
      <w:r>
        <w:rPr>
          <w:rFonts w:eastAsia="Calibri"/>
          <w:strike/>
          <w:color w:val="000000"/>
          <w:u w:color="000000"/>
        </w:rPr>
        <w:t>nomination</w:t>
      </w:r>
      <w:r>
        <w:rPr>
          <w:rFonts w:eastAsia="Calibri"/>
          <w:color w:val="000000"/>
          <w:u w:color="000000"/>
        </w:rPr>
        <w:t xml:space="preserve"> </w:t>
      </w:r>
      <w:r>
        <w:rPr>
          <w:rFonts w:eastAsia="Calibri"/>
          <w:color w:val="000000"/>
          <w:u w:val="single" w:color="000000"/>
        </w:rPr>
        <w:t>election</w:t>
      </w:r>
      <w:r>
        <w:rPr>
          <w:rFonts w:eastAsia="Calibri"/>
          <w:color w:val="000000"/>
          <w:u w:color="000000"/>
        </w:rPr>
        <w:t xml:space="preserve"> as justice or judge may make application to the commission. No person may concurrently seek more than one judicial vacancy. The commission shall announce the names of those persons who have applied. </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(D)</w:t>
      </w:r>
      <w:r>
        <w:rPr>
          <w:rFonts w:eastAsia="Calibri"/>
          <w:color w:val="000000"/>
          <w:u w:color="000000"/>
        </w:rPr>
        <w:tab/>
        <w:t xml:space="preserve">Any person wishing to seek a judicial office, which is elected by the General Assembly, shall file a notice of intention to seek the office with the Judicial Merit Selection Commission.  Upon receipt of the notice of intention, the commission shall begin to conduct the investigation of the candidate as it considers appropriate and may in the investigation utilize the services of any agency of state government.  This agency shall </w:t>
      </w:r>
      <w:r>
        <w:rPr>
          <w:rFonts w:eastAsia="Calibri"/>
          <w:color w:val="000000"/>
          <w:u w:val="single" w:color="000000"/>
        </w:rPr>
        <w:t>cooperate</w:t>
      </w:r>
      <w:r>
        <w:rPr>
          <w:rFonts w:eastAsia="Calibri"/>
          <w:color w:val="000000"/>
          <w:u w:color="000000"/>
        </w:rPr>
        <w:t xml:space="preserve">, upon request, </w:t>
      </w:r>
      <w:r w:rsidRPr="00720C7E">
        <w:rPr>
          <w:rFonts w:eastAsia="Calibri"/>
          <w:strike/>
          <w:color w:val="000000"/>
          <w:u w:color="000000"/>
        </w:rPr>
        <w:t>cooperate</w:t>
      </w:r>
      <w:r>
        <w:rPr>
          <w:rFonts w:eastAsia="Calibri"/>
          <w:color w:val="000000"/>
          <w:u w:color="000000"/>
        </w:rPr>
        <w:t xml:space="preserve"> fully with the commission.</w:t>
      </w:r>
      <w:r>
        <w:rPr>
          <w:color w:val="000000" w:themeColor="text1"/>
          <w:u w:color="000000" w:themeColor="text1"/>
        </w:rPr>
        <w:t>”</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3.</w:t>
      </w:r>
      <w:r>
        <w:rPr>
          <w:rFonts w:eastAsia="Calibri"/>
          <w:bCs/>
          <w:color w:val="000000"/>
          <w:u w:color="000000"/>
        </w:rPr>
        <w:tab/>
        <w:t>Section 2</w:t>
      </w:r>
      <w:r>
        <w:rPr>
          <w:bCs/>
          <w:color w:val="000000" w:themeColor="text1"/>
          <w:u w:color="000000" w:themeColor="text1"/>
        </w:rPr>
        <w:noBreakHyphen/>
      </w:r>
      <w:r>
        <w:rPr>
          <w:rFonts w:eastAsia="Calibri"/>
          <w:bCs/>
          <w:color w:val="000000"/>
          <w:u w:color="000000"/>
        </w:rPr>
        <w:t>19</w:t>
      </w:r>
      <w:r>
        <w:rPr>
          <w:bCs/>
          <w:color w:val="000000" w:themeColor="text1"/>
          <w:u w:color="000000" w:themeColor="text1"/>
        </w:rPr>
        <w:noBreakHyphen/>
      </w:r>
      <w:r>
        <w:rPr>
          <w:rFonts w:eastAsia="Calibri"/>
          <w:bCs/>
          <w:color w:val="000000"/>
          <w:u w:color="000000"/>
        </w:rPr>
        <w:t>35 of the 1976 Code is amended to read:</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“Section 2-19-35.</w:t>
      </w:r>
      <w:r>
        <w:rPr>
          <w:rFonts w:eastAsia="Calibri"/>
          <w:color w:val="000000"/>
          <w:u w:color="000000"/>
        </w:rPr>
        <w:tab/>
        <w:t>(A)</w:t>
      </w:r>
      <w:r>
        <w:rPr>
          <w:rFonts w:eastAsia="Calibri"/>
          <w:color w:val="000000"/>
          <w:u w:color="000000"/>
        </w:rPr>
        <w:tab/>
        <w:t xml:space="preserve">The responsibility of the Judicial Merit Selection Commission is to investigate and consider the qualifications of the candidates for judicial office in the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or on the family court, circuit court, court of appeals, or Supreme Court.  Investigations and consideration of the commission should include, but are not limited to, the following areas:</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(1)</w:t>
      </w:r>
      <w:r>
        <w:rPr>
          <w:rFonts w:eastAsia="Calibri"/>
          <w:color w:val="000000"/>
          <w:u w:color="000000"/>
        </w:rPr>
        <w:tab/>
        <w:t>constitutional qualifications;</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t>ethical fitness;</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(3)</w:t>
      </w:r>
      <w:r>
        <w:rPr>
          <w:rFonts w:eastAsia="Calibri"/>
          <w:color w:val="000000"/>
          <w:u w:color="000000"/>
        </w:rPr>
        <w:tab/>
        <w:t>professional and academic ability;</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(4)</w:t>
      </w:r>
      <w:r>
        <w:rPr>
          <w:rFonts w:eastAsia="Calibri"/>
          <w:color w:val="000000"/>
          <w:u w:color="000000"/>
        </w:rPr>
        <w:tab/>
        <w:t>character;</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(5)</w:t>
      </w:r>
      <w:r>
        <w:rPr>
          <w:rFonts w:eastAsia="Calibri"/>
          <w:color w:val="000000"/>
          <w:u w:color="000000"/>
        </w:rPr>
        <w:tab/>
        <w:t>reputation;</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(6)</w:t>
      </w:r>
      <w:r>
        <w:rPr>
          <w:rFonts w:eastAsia="Calibri"/>
          <w:color w:val="000000"/>
          <w:u w:color="000000"/>
        </w:rPr>
        <w:tab/>
        <w:t>physical health;</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(7)</w:t>
      </w:r>
      <w:r>
        <w:rPr>
          <w:rFonts w:eastAsia="Calibri"/>
          <w:color w:val="000000"/>
          <w:u w:color="000000"/>
        </w:rPr>
        <w:tab/>
        <w:t>mental stability;</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(8)</w:t>
      </w:r>
      <w:r>
        <w:rPr>
          <w:rFonts w:eastAsia="Calibri"/>
          <w:color w:val="000000"/>
          <w:u w:color="000000"/>
        </w:rPr>
        <w:tab/>
        <w:t>experience; and</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(9)</w:t>
      </w:r>
      <w:r>
        <w:rPr>
          <w:rFonts w:eastAsia="Calibri"/>
          <w:color w:val="000000"/>
          <w:u w:color="000000"/>
        </w:rPr>
        <w:tab/>
        <w:t>judicial temperament.</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(B)</w:t>
      </w:r>
      <w:r>
        <w:rPr>
          <w:rFonts w:eastAsia="Calibri"/>
          <w:color w:val="000000"/>
          <w:u w:color="000000"/>
        </w:rPr>
        <w:tab/>
        <w:t xml:space="preserve">In </w:t>
      </w:r>
      <w:r>
        <w:rPr>
          <w:rFonts w:eastAsia="Calibri"/>
          <w:strike/>
          <w:color w:val="000000"/>
          <w:u w:color="000000"/>
        </w:rPr>
        <w:t>making nominations</w:t>
      </w:r>
      <w:r>
        <w:rPr>
          <w:rFonts w:eastAsia="Calibri"/>
          <w:color w:val="000000"/>
          <w:u w:color="000000"/>
        </w:rPr>
        <w:t xml:space="preserve"> </w:t>
      </w:r>
      <w:r>
        <w:rPr>
          <w:rFonts w:eastAsia="Calibri"/>
          <w:color w:val="000000"/>
          <w:u w:val="single" w:color="000000"/>
        </w:rPr>
        <w:t>determining qualifications</w:t>
      </w:r>
      <w:r>
        <w:rPr>
          <w:rFonts w:eastAsia="Calibri"/>
          <w:color w:val="000000"/>
          <w:u w:color="000000"/>
        </w:rPr>
        <w:t>, race, gender, national origin, and other demographic factors should be considered by the commission to ensure nondiscrimination to the greatest extent possible as to all segments of the population of the State.</w:t>
      </w:r>
      <w:r>
        <w:rPr>
          <w:color w:val="000000" w:themeColor="text1"/>
          <w:u w:color="000000" w:themeColor="text1"/>
        </w:rPr>
        <w:t>”</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4.</w:t>
      </w:r>
      <w:r>
        <w:rPr>
          <w:rFonts w:eastAsia="Calibri"/>
          <w:bCs/>
          <w:color w:val="000000"/>
          <w:u w:color="000000"/>
        </w:rPr>
        <w:tab/>
        <w:t>Section 2</w:t>
      </w:r>
      <w:r>
        <w:rPr>
          <w:bCs/>
          <w:color w:val="000000" w:themeColor="text1"/>
          <w:u w:color="000000" w:themeColor="text1"/>
        </w:rPr>
        <w:noBreakHyphen/>
      </w:r>
      <w:r>
        <w:rPr>
          <w:rFonts w:eastAsia="Calibri"/>
          <w:bCs/>
          <w:color w:val="000000"/>
          <w:u w:color="000000"/>
        </w:rPr>
        <w:t>19</w:t>
      </w:r>
      <w:r>
        <w:rPr>
          <w:bCs/>
          <w:color w:val="000000" w:themeColor="text1"/>
          <w:u w:color="000000" w:themeColor="text1"/>
        </w:rPr>
        <w:noBreakHyphen/>
      </w:r>
      <w:r>
        <w:rPr>
          <w:rFonts w:eastAsia="Calibri"/>
          <w:bCs/>
          <w:color w:val="000000"/>
          <w:u w:color="000000"/>
        </w:rPr>
        <w:t>70 of the 1976 Code is amended to read:</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color w:val="000000" w:themeColor="text1"/>
          <w:u w:color="000000" w:themeColor="text1"/>
        </w:rPr>
        <w:t>“Section 2-19-70.</w:t>
      </w:r>
      <w:r>
        <w:rPr>
          <w:color w:val="000000" w:themeColor="text1"/>
          <w:u w:color="000000" w:themeColor="text1"/>
        </w:rPr>
        <w:tab/>
      </w:r>
      <w:r>
        <w:rPr>
          <w:rFonts w:eastAsia="Calibri"/>
          <w:color w:val="000000"/>
          <w:u w:color="000000"/>
        </w:rPr>
        <w:t>(A)</w:t>
      </w:r>
      <w:r>
        <w:rPr>
          <w:rFonts w:eastAsia="Calibri"/>
          <w:color w:val="000000"/>
          <w:u w:color="000000"/>
        </w:rPr>
        <w:tab/>
        <w:t>No member of the General Assembly may be elected to a judicial office while he is serving in the General Assembly nor shall that person be elected to a judicial office for a period of one year after he either:</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(1)</w:t>
      </w:r>
      <w:r>
        <w:rPr>
          <w:rFonts w:eastAsia="Calibri"/>
          <w:color w:val="000000"/>
          <w:u w:color="000000"/>
        </w:rPr>
        <w:tab/>
        <w:t>ceases to be a member of the General Assembly; or</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t>fails to file for election to the General Assembly in accordance with Section 7</w:t>
      </w:r>
      <w:r>
        <w:rPr>
          <w:color w:val="000000" w:themeColor="text1"/>
          <w:u w:color="000000" w:themeColor="text1"/>
        </w:rPr>
        <w:noBreakHyphen/>
      </w:r>
      <w:r>
        <w:rPr>
          <w:rFonts w:eastAsia="Calibri"/>
          <w:color w:val="000000"/>
          <w:u w:color="000000"/>
        </w:rPr>
        <w:t>11</w:t>
      </w:r>
      <w:r>
        <w:rPr>
          <w:color w:val="000000" w:themeColor="text1"/>
          <w:u w:color="000000" w:themeColor="text1"/>
        </w:rPr>
        <w:noBreakHyphen/>
      </w:r>
      <w:r>
        <w:rPr>
          <w:rFonts w:eastAsia="Calibri"/>
          <w:color w:val="000000"/>
          <w:u w:color="000000"/>
        </w:rPr>
        <w:t>15.</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(B)</w:t>
      </w:r>
      <w:r>
        <w:rPr>
          <w:rFonts w:eastAsia="Calibri"/>
          <w:color w:val="000000"/>
          <w:u w:color="000000"/>
        </w:rPr>
        <w:tab/>
        <w:t>The privilege of the floor in either house of the General Assembly may not be granted to any candidate or any immediate family member of a candidate unless the family member is serving in the General Assembly, during the time the candidate</w:t>
      </w:r>
      <w:r>
        <w:rPr>
          <w:color w:val="000000" w:themeColor="text1"/>
          <w:u w:color="000000" w:themeColor="text1"/>
        </w:rPr>
        <w:t>’</w:t>
      </w:r>
      <w:r>
        <w:rPr>
          <w:rFonts w:eastAsia="Calibri"/>
          <w:color w:val="000000"/>
          <w:u w:color="000000"/>
        </w:rPr>
        <w:t xml:space="preserve">s application is pending before the commission and during the time </w:t>
      </w:r>
      <w:r>
        <w:rPr>
          <w:rFonts w:eastAsia="Calibri"/>
          <w:strike/>
          <w:color w:val="000000"/>
          <w:u w:color="000000"/>
        </w:rPr>
        <w:t>his nomination by the commission</w:t>
      </w:r>
      <w:r>
        <w:rPr>
          <w:rFonts w:eastAsia="Calibri"/>
          <w:color w:val="000000"/>
          <w:u w:color="000000"/>
        </w:rPr>
        <w:t xml:space="preserve"> </w:t>
      </w:r>
      <w:r>
        <w:rPr>
          <w:rFonts w:eastAsia="Calibri"/>
          <w:color w:val="000000"/>
          <w:u w:val="single" w:color="000000"/>
        </w:rPr>
        <w:t>he is listed as qualified</w:t>
      </w:r>
      <w:r>
        <w:rPr>
          <w:rFonts w:eastAsia="Calibri"/>
          <w:color w:val="000000"/>
          <w:u w:color="000000"/>
        </w:rPr>
        <w:t xml:space="preserve"> for election to a particular judicial office </w:t>
      </w:r>
      <w:r>
        <w:rPr>
          <w:rFonts w:eastAsia="Calibri"/>
          <w:color w:val="000000"/>
          <w:u w:val="single" w:color="000000"/>
        </w:rPr>
        <w:t>by the commission and that election</w:t>
      </w:r>
      <w:r>
        <w:rPr>
          <w:rFonts w:eastAsia="Calibri"/>
          <w:color w:val="000000"/>
          <w:u w:color="000000"/>
        </w:rPr>
        <w:t xml:space="preserve"> is pending in the General Assembly.</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(C)</w:t>
      </w:r>
      <w:r>
        <w:rPr>
          <w:rFonts w:eastAsia="Calibri"/>
          <w:color w:val="000000"/>
          <w:u w:color="000000"/>
        </w:rPr>
        <w:tab/>
        <w:t>No candidate for judicial office may seek directly or indirectly the pledge of a member of the General Assembly</w:t>
      </w:r>
      <w:r>
        <w:rPr>
          <w:color w:val="000000" w:themeColor="text1"/>
          <w:u w:color="000000" w:themeColor="text1"/>
        </w:rPr>
        <w:t>’</w:t>
      </w:r>
      <w:r>
        <w:rPr>
          <w:rFonts w:eastAsia="Calibri"/>
          <w:color w:val="000000"/>
          <w:u w:color="000000"/>
        </w:rPr>
        <w:t xml:space="preserve">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released its report as to the qualifications of </w:t>
      </w:r>
      <w:r>
        <w:rPr>
          <w:rFonts w:eastAsia="Calibri"/>
          <w:strike/>
          <w:color w:val="000000"/>
          <w:u w:color="000000"/>
        </w:rPr>
        <w:t>its nominees</w:t>
      </w:r>
      <w:r>
        <w:rPr>
          <w:rFonts w:eastAsia="Calibri"/>
          <w:color w:val="000000"/>
          <w:u w:color="000000"/>
        </w:rPr>
        <w:t xml:space="preserve"> </w:t>
      </w:r>
      <w:r>
        <w:rPr>
          <w:rFonts w:eastAsia="Calibri"/>
          <w:color w:val="000000"/>
          <w:u w:val="single" w:color="000000"/>
        </w:rPr>
        <w:t>the candidates</w:t>
      </w:r>
      <w:r>
        <w:rPr>
          <w:rFonts w:eastAsia="Calibri"/>
          <w:color w:val="000000"/>
          <w:u w:color="000000"/>
        </w:rPr>
        <w:t xml:space="preserve"> to the General Assembly.  The formal release of the report of qualifications shall occur no earlier than forty</w:t>
      </w:r>
      <w:r>
        <w:rPr>
          <w:color w:val="000000" w:themeColor="text1"/>
          <w:u w:color="000000" w:themeColor="text1"/>
        </w:rPr>
        <w:noBreakHyphen/>
      </w:r>
      <w:r>
        <w:rPr>
          <w:rFonts w:eastAsia="Calibri"/>
          <w:color w:val="000000"/>
          <w:u w:color="000000"/>
        </w:rPr>
        <w:t xml:space="preserve">eight hours after the </w:t>
      </w:r>
      <w:r>
        <w:rPr>
          <w:rFonts w:eastAsia="Calibri"/>
          <w:strike/>
          <w:color w:val="000000"/>
          <w:u w:color="000000"/>
        </w:rPr>
        <w:t>nominees have been</w:t>
      </w:r>
      <w:r>
        <w:rPr>
          <w:rFonts w:eastAsia="Calibri"/>
          <w:color w:val="000000"/>
          <w:u w:color="000000"/>
        </w:rPr>
        <w:t xml:space="preserve"> </w:t>
      </w:r>
      <w:r>
        <w:rPr>
          <w:rFonts w:eastAsia="Calibri"/>
          <w:color w:val="000000"/>
          <w:u w:val="single" w:color="000000"/>
        </w:rPr>
        <w:t>list of qualified candidates</w:t>
      </w:r>
      <w:r w:rsidRPr="00244BE7">
        <w:rPr>
          <w:rFonts w:eastAsia="Calibri"/>
          <w:color w:val="000000"/>
          <w:u w:val="single" w:color="000000"/>
        </w:rPr>
        <w:t xml:space="preserve"> is</w:t>
      </w:r>
      <w:r>
        <w:rPr>
          <w:rFonts w:eastAsia="Calibri"/>
          <w:color w:val="000000"/>
          <w:u w:color="000000"/>
        </w:rPr>
        <w:t xml:space="preserve">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the list of qualified candidates</w:t>
      </w:r>
      <w:r>
        <w:rPr>
          <w:rFonts w:eastAsia="Calibri"/>
          <w:color w:val="000000"/>
          <w:u w:color="000000"/>
        </w:rPr>
        <w:t xml:space="preserve"> for that office </w:t>
      </w:r>
      <w:r>
        <w:rPr>
          <w:rFonts w:eastAsia="Calibri"/>
          <w:strike/>
          <w:color w:val="000000"/>
          <w:u w:color="000000"/>
        </w:rPr>
        <w:t>are</w:t>
      </w:r>
      <w:r>
        <w:rPr>
          <w:rFonts w:eastAsia="Calibri"/>
          <w:color w:val="000000"/>
          <w:u w:color="000000"/>
        </w:rPr>
        <w:t xml:space="preserve"> </w:t>
      </w:r>
      <w:r>
        <w:rPr>
          <w:rFonts w:eastAsia="Calibri"/>
          <w:color w:val="000000"/>
          <w:u w:val="single" w:color="000000"/>
        </w:rPr>
        <w:t>is</w:t>
      </w:r>
      <w:r>
        <w:rPr>
          <w:rFonts w:eastAsia="Calibri"/>
          <w:color w:val="000000"/>
          <w:u w:color="000000"/>
        </w:rPr>
        <w:t xml:space="preserve"> formally made by the commission.  The prohibitions of this section do not extend to an announcement of candidacy by the candidate and statements by the candidate detailing the candidate</w:t>
      </w:r>
      <w:r>
        <w:rPr>
          <w:color w:val="000000" w:themeColor="text1"/>
          <w:u w:color="000000" w:themeColor="text1"/>
        </w:rPr>
        <w:t>’</w:t>
      </w:r>
      <w:r>
        <w:rPr>
          <w:rFonts w:eastAsia="Calibri"/>
          <w:color w:val="000000"/>
          <w:u w:color="000000"/>
        </w:rPr>
        <w:t>s qualifications.</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(D)</w:t>
      </w:r>
      <w:r>
        <w:rPr>
          <w:rFonts w:eastAsia="Calibri"/>
          <w:color w:val="000000"/>
          <w:u w:color="000000"/>
        </w:rPr>
        <w:tab/>
        <w:t>No member of the General Assembly may trade anything of value, including pledges to vote for legislation or for other candidates, in exchange for another member</w:t>
      </w:r>
      <w:r>
        <w:rPr>
          <w:color w:val="000000" w:themeColor="text1"/>
          <w:u w:color="000000" w:themeColor="text1"/>
        </w:rPr>
        <w:t>’</w:t>
      </w:r>
      <w:r>
        <w:rPr>
          <w:rFonts w:eastAsia="Calibri"/>
          <w:color w:val="000000"/>
          <w:u w:color="000000"/>
        </w:rPr>
        <w:t>s pledge to vote for a candidate for judicial office.</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(E)</w:t>
      </w:r>
      <w:r>
        <w:rPr>
          <w:rFonts w:eastAsia="Calibri"/>
          <w:color w:val="000000"/>
          <w:u w:color="000000"/>
        </w:rPr>
        <w:tab/>
        <w:t>Violations of this section may be considered by the Judicial Merit Selection Commission when it considers the candidate</w:t>
      </w:r>
      <w:r>
        <w:rPr>
          <w:color w:val="000000" w:themeColor="text1"/>
          <w:u w:color="000000" w:themeColor="text1"/>
        </w:rPr>
        <w:t>’</w:t>
      </w:r>
      <w:r>
        <w:rPr>
          <w:rFonts w:eastAsia="Calibri"/>
          <w:color w:val="000000"/>
          <w:u w:color="000000"/>
        </w:rPr>
        <w:t>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Pr>
          <w:color w:val="000000" w:themeColor="text1"/>
          <w:u w:color="000000" w:themeColor="text1"/>
        </w:rPr>
        <w:noBreakHyphen/>
      </w:r>
      <w:r>
        <w:rPr>
          <w:rFonts w:eastAsia="Calibri"/>
          <w:color w:val="000000"/>
          <w:u w:color="000000"/>
        </w:rPr>
        <w:t>3</w:t>
      </w:r>
      <w:r>
        <w:rPr>
          <w:color w:val="000000" w:themeColor="text1"/>
          <w:u w:color="000000" w:themeColor="text1"/>
        </w:rPr>
        <w:noBreakHyphen/>
      </w:r>
      <w:r>
        <w:rPr>
          <w:rFonts w:eastAsia="Calibri"/>
          <w:color w:val="000000"/>
          <w:u w:color="000000"/>
        </w:rPr>
        <w:t>545.</w:t>
      </w:r>
      <w:r>
        <w:rPr>
          <w:color w:val="000000" w:themeColor="text1"/>
          <w:u w:color="000000" w:themeColor="text1"/>
        </w:rPr>
        <w:t>”</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5.</w:t>
      </w:r>
      <w:r>
        <w:rPr>
          <w:rFonts w:eastAsia="Calibri"/>
          <w:bCs/>
          <w:color w:val="000000"/>
          <w:u w:color="000000"/>
        </w:rPr>
        <w:tab/>
        <w:t>Section 2</w:t>
      </w:r>
      <w:r>
        <w:rPr>
          <w:bCs/>
          <w:color w:val="000000" w:themeColor="text1"/>
          <w:u w:color="000000" w:themeColor="text1"/>
        </w:rPr>
        <w:noBreakHyphen/>
      </w:r>
      <w:r>
        <w:rPr>
          <w:rFonts w:eastAsia="Calibri"/>
          <w:bCs/>
          <w:color w:val="000000"/>
          <w:u w:color="000000"/>
        </w:rPr>
        <w:t>19</w:t>
      </w:r>
      <w:r>
        <w:rPr>
          <w:bCs/>
          <w:color w:val="000000" w:themeColor="text1"/>
          <w:u w:color="000000" w:themeColor="text1"/>
        </w:rPr>
        <w:noBreakHyphen/>
      </w:r>
      <w:r>
        <w:rPr>
          <w:rFonts w:eastAsia="Calibri"/>
          <w:bCs/>
          <w:color w:val="000000"/>
          <w:u w:color="000000"/>
        </w:rPr>
        <w:t>80 of the 1976 Code is amended to read:</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color w:val="000000" w:themeColor="text1"/>
          <w:u w:color="000000" w:themeColor="text1"/>
        </w:rPr>
        <w:t>“Section 2-19-80.</w:t>
      </w:r>
      <w:r>
        <w:rPr>
          <w:color w:val="000000" w:themeColor="text1"/>
          <w:u w:color="000000" w:themeColor="text1"/>
        </w:rPr>
        <w:tab/>
      </w:r>
      <w:r>
        <w:rPr>
          <w:rFonts w:eastAsia="Calibri"/>
          <w:color w:val="000000"/>
          <w:u w:color="000000"/>
        </w:rPr>
        <w:t>(A)</w:t>
      </w:r>
      <w:r>
        <w:rPr>
          <w:rFonts w:eastAsia="Calibri"/>
          <w:color w:val="000000"/>
          <w:u w:color="000000"/>
        </w:rPr>
        <w:tab/>
        <w:t xml:space="preserve">The commission shall </w:t>
      </w:r>
      <w:r>
        <w:rPr>
          <w:rFonts w:eastAsia="Calibri"/>
          <w:strike/>
          <w:color w:val="000000"/>
          <w:u w:color="000000"/>
        </w:rPr>
        <w:t>make nominations</w:t>
      </w:r>
      <w:r>
        <w:rPr>
          <w:rFonts w:eastAsia="Calibri"/>
          <w:color w:val="000000"/>
          <w:u w:color="000000"/>
        </w:rPr>
        <w:t xml:space="preserve"> </w:t>
      </w:r>
      <w:r>
        <w:rPr>
          <w:rFonts w:eastAsia="Calibri"/>
          <w:color w:val="000000"/>
          <w:u w:val="single" w:color="000000"/>
        </w:rPr>
        <w:t>release</w:t>
      </w:r>
      <w:r>
        <w:rPr>
          <w:rFonts w:eastAsia="Calibri"/>
          <w:color w:val="000000"/>
          <w:u w:color="000000"/>
        </w:rPr>
        <w:t xml:space="preserve"> to the General Assembly </w:t>
      </w:r>
      <w:r>
        <w:rPr>
          <w:rFonts w:eastAsia="Calibri"/>
          <w:strike/>
          <w:color w:val="000000"/>
          <w:u w:color="000000"/>
        </w:rPr>
        <w:t>of candidates and their qualifications</w:t>
      </w:r>
      <w:r>
        <w:rPr>
          <w:rFonts w:eastAsia="Calibri"/>
          <w:color w:val="000000"/>
          <w:u w:color="000000"/>
        </w:rPr>
        <w:t xml:space="preserve"> </w:t>
      </w:r>
      <w:r>
        <w:rPr>
          <w:rFonts w:eastAsia="Calibri"/>
          <w:color w:val="000000"/>
          <w:u w:val="single" w:color="000000"/>
        </w:rPr>
        <w:t>a list of the names of all candidates that are qualified, as provided in Sections 15 and 27, Article V of the Constitution of this State and Section 2</w:t>
      </w:r>
      <w:r>
        <w:rPr>
          <w:color w:val="000000" w:themeColor="text1"/>
          <w:u w:val="single" w:color="000000" w:themeColor="text1"/>
        </w:rPr>
        <w:noBreakHyphen/>
      </w:r>
      <w:r>
        <w:rPr>
          <w:rFonts w:eastAsia="Calibri"/>
          <w:color w:val="000000"/>
          <w:u w:val="single" w:color="000000"/>
        </w:rPr>
        <w:t>19</w:t>
      </w:r>
      <w:r>
        <w:rPr>
          <w:color w:val="000000" w:themeColor="text1"/>
          <w:u w:val="single" w:color="000000" w:themeColor="text1"/>
        </w:rPr>
        <w:noBreakHyphen/>
      </w:r>
      <w:r>
        <w:rPr>
          <w:rFonts w:eastAsia="Calibri"/>
          <w:color w:val="000000"/>
          <w:u w:val="single" w:color="000000"/>
        </w:rPr>
        <w:t>35,</w:t>
      </w:r>
      <w:r>
        <w:rPr>
          <w:rFonts w:eastAsia="Calibri"/>
          <w:color w:val="000000"/>
          <w:u w:color="000000"/>
        </w:rPr>
        <w:t xml:space="preserve"> for election to the Supreme Court, court of appeals, circuit court, family court, and the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w:t>
      </w:r>
      <w:r>
        <w:rPr>
          <w:rFonts w:eastAsia="Calibri"/>
          <w:strike/>
          <w:color w:val="000000"/>
          <w:u w:color="000000"/>
        </w:rPr>
        <w:t>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(B)</w:t>
      </w:r>
      <w:r>
        <w:rPr>
          <w:rFonts w:eastAsia="Calibri"/>
          <w:color w:val="000000"/>
          <w:u w:color="000000"/>
        </w:rPr>
        <w:tab/>
        <w:t xml:space="preserve">The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list of qualified candidates</w:t>
      </w:r>
      <w:r>
        <w:rPr>
          <w:rFonts w:eastAsia="Calibri"/>
          <w:color w:val="000000"/>
          <w:u w:color="000000"/>
        </w:rPr>
        <w:t xml:space="preserve"> of the commission for any judgeship </w:t>
      </w:r>
      <w:r>
        <w:rPr>
          <w:rFonts w:eastAsia="Calibri"/>
          <w:strike/>
          <w:color w:val="000000"/>
          <w:u w:color="000000"/>
        </w:rPr>
        <w:t>are</w:t>
      </w:r>
      <w:r>
        <w:rPr>
          <w:rFonts w:eastAsia="Calibri"/>
          <w:color w:val="000000"/>
          <w:u w:color="000000"/>
        </w:rPr>
        <w:t xml:space="preserve"> </w:t>
      </w:r>
      <w:r>
        <w:rPr>
          <w:rFonts w:eastAsia="Calibri"/>
          <w:color w:val="000000"/>
          <w:u w:val="single" w:color="000000"/>
        </w:rPr>
        <w:t>is</w:t>
      </w:r>
      <w:r>
        <w:rPr>
          <w:rFonts w:eastAsia="Calibri"/>
          <w:color w:val="000000"/>
          <w:u w:color="000000"/>
        </w:rPr>
        <w:t xml:space="preserve"> binding on the General Assembly, and it shall not elect a person not </w:t>
      </w:r>
      <w:r>
        <w:rPr>
          <w:rFonts w:eastAsia="Calibri"/>
          <w:strike/>
          <w:color w:val="000000"/>
          <w:u w:color="000000"/>
        </w:rPr>
        <w:t>nominated</w:t>
      </w:r>
      <w:r>
        <w:rPr>
          <w:rFonts w:eastAsia="Calibri"/>
          <w:color w:val="000000"/>
          <w:u w:color="000000"/>
        </w:rPr>
        <w:t xml:space="preserve"> </w:t>
      </w:r>
      <w:r>
        <w:rPr>
          <w:rFonts w:eastAsia="Calibri"/>
          <w:color w:val="000000"/>
          <w:u w:val="single" w:color="000000"/>
        </w:rPr>
        <w:t>found qualified</w:t>
      </w:r>
      <w:r>
        <w:rPr>
          <w:rFonts w:eastAsia="Calibri"/>
          <w:color w:val="000000"/>
          <w:u w:color="000000"/>
        </w:rPr>
        <w:t xml:space="preserve"> by the commission.  </w:t>
      </w:r>
      <w:r>
        <w:rPr>
          <w:rFonts w:eastAsia="Calibri"/>
          <w:strike/>
          <w:color w:val="000000"/>
          <w:u w:color="000000"/>
        </w:rPr>
        <w:t>Nothing shall prevent the General Assembly from rejecting all persons nominated.  In this event, the commission shall submit another group of names and qualifications for that position.  Further nominations in the manner required by this chapter must be made until the office is filled.</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(C)(1)</w:t>
      </w:r>
      <w:r>
        <w:rPr>
          <w:rFonts w:eastAsia="Calibri"/>
          <w:color w:val="000000"/>
          <w:u w:color="000000"/>
        </w:rPr>
        <w:tab/>
        <w:t>If the commission does not find the incumbent justice or judge qualified for the judicial office held and sought, his name shall not be submitted to the General Assembly for re</w:t>
      </w:r>
      <w:r>
        <w:rPr>
          <w:color w:val="000000" w:themeColor="text1"/>
          <w:u w:color="000000" w:themeColor="text1"/>
        </w:rPr>
        <w:noBreakHyphen/>
      </w:r>
      <w:r>
        <w:rPr>
          <w:rFonts w:eastAsia="Calibri"/>
          <w:color w:val="000000"/>
          <w:u w:color="000000"/>
        </w:rPr>
        <w:t>election and upon expiration of his then current term of office, he shall cease serving in that judicial position.</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t xml:space="preserve">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w:t>
      </w:r>
      <w:r>
        <w:rPr>
          <w:rFonts w:eastAsia="Calibri"/>
          <w:strike/>
          <w:color w:val="000000"/>
          <w:u w:color="000000"/>
        </w:rPr>
        <w:t>to make other nominations for the office</w:t>
      </w:r>
      <w:r>
        <w:rPr>
          <w:rFonts w:eastAsia="Calibri"/>
          <w:color w:val="000000"/>
          <w:u w:color="000000"/>
        </w:rPr>
        <w:t xml:space="preserve"> as though a new vacancy without an incumbent exists in that office, including reopening the application process with all required notices.  Nothing prevents the commission from including in its new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list of qualified candidates</w:t>
      </w:r>
      <w:r>
        <w:rPr>
          <w:rFonts w:eastAsia="Calibri"/>
          <w:color w:val="000000"/>
          <w:u w:color="000000"/>
        </w:rPr>
        <w:t xml:space="preserve"> the names and qualifications of persons other than the incumbent judge it included in its previous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list</w:t>
      </w:r>
      <w:r>
        <w:rPr>
          <w:rFonts w:eastAsia="Calibri"/>
          <w:color w:val="000000"/>
          <w:u w:color="000000"/>
        </w:rPr>
        <w:t>.</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(D)</w:t>
      </w:r>
      <w:r>
        <w:rPr>
          <w:rFonts w:eastAsia="Calibri"/>
          <w:color w:val="000000"/>
          <w:u w:color="000000"/>
        </w:rPr>
        <w:tab/>
        <w:t xml:space="preserve">The commission shall accompany its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list of qualified candidates</w:t>
      </w:r>
      <w:r>
        <w:rPr>
          <w:rFonts w:eastAsia="Calibri"/>
          <w:color w:val="000000"/>
          <w:u w:color="000000"/>
        </w:rPr>
        <w:t xml:space="preserve"> to the General Assembly with reports or recommendations as to the qualifications of particular candidates.</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(E)</w:t>
      </w:r>
      <w:r>
        <w:rPr>
          <w:rFonts w:eastAsia="Calibri"/>
          <w:color w:val="000000"/>
          <w:u w:color="000000"/>
        </w:rPr>
        <w:tab/>
        <w:t>A period of at least two weeks must elapse between the date of the commission</w:t>
      </w:r>
      <w:r>
        <w:rPr>
          <w:color w:val="000000" w:themeColor="text1"/>
          <w:u w:color="000000" w:themeColor="text1"/>
        </w:rPr>
        <w:t>’</w:t>
      </w:r>
      <w:r>
        <w:rPr>
          <w:rFonts w:eastAsia="Calibri"/>
          <w:color w:val="000000"/>
          <w:u w:color="000000"/>
        </w:rPr>
        <w:t xml:space="preserve">s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release of its list of qualified candidates</w:t>
      </w:r>
      <w:r>
        <w:rPr>
          <w:rFonts w:eastAsia="Calibri"/>
          <w:color w:val="000000"/>
          <w:u w:color="000000"/>
        </w:rPr>
        <w:t xml:space="preserve"> to the General Assembly and the date the General Assembly conducts the election for these judgeships.</w:t>
      </w:r>
      <w:r>
        <w:rPr>
          <w:color w:val="000000" w:themeColor="text1"/>
          <w:u w:color="000000" w:themeColor="text1"/>
        </w:rPr>
        <w:t>”</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6.</w:t>
      </w:r>
      <w:r>
        <w:rPr>
          <w:rFonts w:eastAsia="Calibri"/>
          <w:bCs/>
          <w:color w:val="000000"/>
          <w:u w:color="000000"/>
        </w:rPr>
        <w:tab/>
        <w:t>Section 2</w:t>
      </w:r>
      <w:r>
        <w:rPr>
          <w:bCs/>
          <w:color w:val="000000" w:themeColor="text1"/>
          <w:u w:color="000000" w:themeColor="text1"/>
        </w:rPr>
        <w:noBreakHyphen/>
      </w:r>
      <w:r>
        <w:rPr>
          <w:rFonts w:eastAsia="Calibri"/>
          <w:bCs/>
          <w:color w:val="000000"/>
          <w:u w:color="000000"/>
        </w:rPr>
        <w:t>19</w:t>
      </w:r>
      <w:r>
        <w:rPr>
          <w:bCs/>
          <w:color w:val="000000" w:themeColor="text1"/>
          <w:u w:color="000000" w:themeColor="text1"/>
        </w:rPr>
        <w:noBreakHyphen/>
      </w:r>
      <w:r>
        <w:rPr>
          <w:rFonts w:eastAsia="Calibri"/>
          <w:bCs/>
          <w:color w:val="000000"/>
          <w:u w:color="000000"/>
        </w:rPr>
        <w:t>90 of the 1976 Code is amended to read:</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color w:val="000000"/>
          <w:u w:color="000000"/>
        </w:rPr>
        <w:tab/>
      </w:r>
      <w:r>
        <w:rPr>
          <w:color w:val="000000" w:themeColor="text1"/>
          <w:u w:color="000000" w:themeColor="text1"/>
        </w:rPr>
        <w:t>“Section 2-19-90.</w:t>
      </w:r>
      <w:r>
        <w:rPr>
          <w:color w:val="000000" w:themeColor="text1"/>
          <w:u w:color="000000" w:themeColor="text1"/>
        </w:rPr>
        <w:tab/>
      </w:r>
      <w:r>
        <w:rPr>
          <w:rFonts w:eastAsia="Calibri"/>
          <w:color w:val="000000"/>
          <w:u w:color="000000"/>
        </w:rPr>
        <w:t>The General Assembly shall meet in joint session for the election of judges.  The date and time for the joint session shall be set by concurrent resolution upon the recommendation of the Judicial Merit Selection Commission.  The Chairman of the Judicial Merit Selection Commission shall announce the commission</w:t>
      </w:r>
      <w:r>
        <w:rPr>
          <w:color w:val="000000" w:themeColor="text1"/>
          <w:u w:color="000000" w:themeColor="text1"/>
        </w:rPr>
        <w:t>’</w:t>
      </w:r>
      <w:r>
        <w:rPr>
          <w:rFonts w:eastAsia="Calibri"/>
          <w:color w:val="000000"/>
          <w:u w:color="000000"/>
        </w:rPr>
        <w:t xml:space="preserve">s </w:t>
      </w:r>
      <w:r>
        <w:rPr>
          <w:rFonts w:eastAsia="Calibri"/>
          <w:strike/>
          <w:color w:val="000000"/>
          <w:u w:color="000000"/>
        </w:rPr>
        <w:t>nominees</w:t>
      </w:r>
      <w:r>
        <w:rPr>
          <w:rFonts w:eastAsia="Calibri"/>
          <w:color w:val="000000"/>
          <w:u w:color="000000"/>
        </w:rPr>
        <w:t xml:space="preserve"> </w:t>
      </w:r>
      <w:r>
        <w:rPr>
          <w:rFonts w:eastAsia="Calibri"/>
          <w:color w:val="000000"/>
          <w:u w:val="single" w:color="000000"/>
        </w:rPr>
        <w:t>list of qualified candidates</w:t>
      </w:r>
      <w:r>
        <w:rPr>
          <w:rFonts w:eastAsia="Calibri"/>
          <w:color w:val="000000"/>
          <w:u w:color="000000"/>
        </w:rPr>
        <w:t xml:space="preserve"> for each judicial race, and no further nominating or seconding speeches shall be allowed by members of the General Assembly.  In order to be elected, a candidate must receive a majority of the vote of the members of the General Assembly voting in joint session.</w:t>
      </w:r>
      <w:r>
        <w:rPr>
          <w:color w:val="000000" w:themeColor="text1"/>
          <w:u w:color="000000" w:themeColor="text1"/>
        </w:rPr>
        <w:t>”</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7.</w:t>
      </w:r>
      <w:r>
        <w:rPr>
          <w:rFonts w:eastAsia="Calibri"/>
          <w:bCs/>
          <w:color w:val="000000"/>
          <w:u w:color="00000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D2435" w:rsidRDefault="005D2435"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435" w:rsidRDefault="005D2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5D2435" w:rsidRDefault="005D2435" w:rsidP="005D3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25D9" w:rsidRDefault="00BF25D9" w:rsidP="005D2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F25D9" w:rsidSect="009F2E78">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C7E" w:rsidRDefault="00720C7E" w:rsidP="009F0C77">
      <w:r>
        <w:separator/>
      </w:r>
    </w:p>
  </w:endnote>
  <w:endnote w:type="continuationSeparator" w:id="0">
    <w:p w:rsidR="00720C7E" w:rsidRDefault="00720C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687D3F-B21E-42D1-9619-36ECB4D90D40}"/>
    <w:embedBold r:id="rId2" w:fontKey="{68F826D5-68EC-43D3-9B29-BA1CFFE99935}"/>
  </w:font>
  <w:font w:name="Calibri">
    <w:panose1 w:val="020F0502020204030204"/>
    <w:charset w:val="00"/>
    <w:family w:val="swiss"/>
    <w:pitch w:val="variable"/>
    <w:sig w:usb0="E00002FF" w:usb1="4000ACFF" w:usb2="00000001" w:usb3="00000000" w:csb0="0000019F" w:csb1="00000000"/>
    <w:embedRegular r:id="rId3" w:fontKey="{F2EB15ED-C961-4FC9-ABA4-DC876C5E5753}"/>
  </w:font>
  <w:font w:name="Segoe UI">
    <w:panose1 w:val="020B0502040204020203"/>
    <w:charset w:val="00"/>
    <w:family w:val="swiss"/>
    <w:pitch w:val="variable"/>
    <w:sig w:usb0="E10022FF" w:usb1="C000E47F" w:usb2="00000029" w:usb3="00000000" w:csb0="000001DF" w:csb1="00000000"/>
    <w:embedRegular r:id="rId4" w:fontKey="{D1974C01-2DBA-4591-9314-80000142704A}"/>
  </w:font>
  <w:font w:name="Cambria">
    <w:panose1 w:val="02040503050406030204"/>
    <w:charset w:val="00"/>
    <w:family w:val="roman"/>
    <w:pitch w:val="variable"/>
    <w:sig w:usb0="E00002FF" w:usb1="400004FF" w:usb2="00000000" w:usb3="00000000" w:csb0="0000019F" w:csb1="00000000"/>
    <w:embedRegular r:id="rId5" w:fontKey="{39A325A8-B45F-468E-83BE-8121B29FE6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435" w:rsidRPr="008A165D" w:rsidRDefault="005D2435" w:rsidP="008A165D">
    <w:pPr>
      <w:pStyle w:val="Footer"/>
      <w:tabs>
        <w:tab w:val="clear" w:pos="4680"/>
        <w:tab w:val="clear" w:pos="9360"/>
        <w:tab w:val="center" w:pos="2995"/>
      </w:tabs>
      <w:spacing w:before="120"/>
    </w:pPr>
    <w:r>
      <w:t>[3979-</w:t>
    </w:r>
    <w:r>
      <w:fldChar w:fldCharType="begin"/>
    </w:r>
    <w:r>
      <w:instrText xml:space="preserve"> PAGE  \* MERGEFORMAT </w:instrText>
    </w:r>
    <w:r>
      <w:fldChar w:fldCharType="separate"/>
    </w:r>
    <w:r w:rsidR="00F71B1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E78" w:rsidRPr="008A165D" w:rsidRDefault="005D2435" w:rsidP="008A165D">
    <w:pPr>
      <w:pStyle w:val="Footer"/>
      <w:tabs>
        <w:tab w:val="clear" w:pos="4680"/>
        <w:tab w:val="clear" w:pos="9360"/>
        <w:tab w:val="center" w:pos="2995"/>
      </w:tabs>
      <w:spacing w:before="120"/>
    </w:pPr>
    <w:r>
      <w:t>[3979]</w:t>
    </w:r>
    <w:r>
      <w:tab/>
    </w:r>
    <w:r>
      <w:fldChar w:fldCharType="begin"/>
    </w:r>
    <w:r>
      <w:instrText xml:space="preserve"> PAGE  \* MERGEFORMAT </w:instrText>
    </w:r>
    <w:r>
      <w:fldChar w:fldCharType="separate"/>
    </w:r>
    <w:r w:rsidR="008C0A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C7E" w:rsidRDefault="00720C7E" w:rsidP="009F0C77">
      <w:r>
        <w:separator/>
      </w:r>
    </w:p>
  </w:footnote>
  <w:footnote w:type="continuationSeparator" w:id="0">
    <w:p w:rsidR="00720C7E" w:rsidRDefault="00720C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1AHB15"/>
    <w:docVar w:name="CoverBillType" w:val="b"/>
    <w:docVar w:name="docpath" w:val="L:\Council\bills\MS\7121AHB15.DOCX"/>
    <w:docVar w:name="dvBillNumber" w:val="3979"/>
    <w:docVar w:name="dvBillNumberPrefix" w:val="H. "/>
    <w:docVar w:name="dvOriginalBody" w:val="House"/>
    <w:docVar w:name="dvSteno" w:val="MS"/>
    <w:docVar w:name="NameofBody" w:val="h"/>
    <w:docVar w:name="vgroup2" w:val="Council"/>
  </w:docVars>
  <w:rsids>
    <w:rsidRoot w:val="00A22059"/>
    <w:rsid w:val="00011869"/>
    <w:rsid w:val="00015CD6"/>
    <w:rsid w:val="0006203F"/>
    <w:rsid w:val="000E1785"/>
    <w:rsid w:val="000F40FA"/>
    <w:rsid w:val="0010776B"/>
    <w:rsid w:val="00133E66"/>
    <w:rsid w:val="001435A3"/>
    <w:rsid w:val="00146ED3"/>
    <w:rsid w:val="0014721E"/>
    <w:rsid w:val="00151044"/>
    <w:rsid w:val="00193B3F"/>
    <w:rsid w:val="001B3466"/>
    <w:rsid w:val="001C1EC5"/>
    <w:rsid w:val="001D08F2"/>
    <w:rsid w:val="001D525B"/>
    <w:rsid w:val="001D7F4F"/>
    <w:rsid w:val="002051BD"/>
    <w:rsid w:val="00205238"/>
    <w:rsid w:val="002321B6"/>
    <w:rsid w:val="00244BE7"/>
    <w:rsid w:val="00250967"/>
    <w:rsid w:val="002543C8"/>
    <w:rsid w:val="0025541D"/>
    <w:rsid w:val="00284AAE"/>
    <w:rsid w:val="002E5912"/>
    <w:rsid w:val="00301B21"/>
    <w:rsid w:val="00325348"/>
    <w:rsid w:val="0032732C"/>
    <w:rsid w:val="00336AD0"/>
    <w:rsid w:val="0037079A"/>
    <w:rsid w:val="003B372D"/>
    <w:rsid w:val="003C4DAB"/>
    <w:rsid w:val="003D01E8"/>
    <w:rsid w:val="003E5288"/>
    <w:rsid w:val="003F6D79"/>
    <w:rsid w:val="0041760A"/>
    <w:rsid w:val="00417C01"/>
    <w:rsid w:val="004403BD"/>
    <w:rsid w:val="00461441"/>
    <w:rsid w:val="004809EE"/>
    <w:rsid w:val="004E7D54"/>
    <w:rsid w:val="005273C6"/>
    <w:rsid w:val="00530A69"/>
    <w:rsid w:val="00533AE0"/>
    <w:rsid w:val="00545593"/>
    <w:rsid w:val="00555439"/>
    <w:rsid w:val="0056452D"/>
    <w:rsid w:val="00577C6C"/>
    <w:rsid w:val="005825B3"/>
    <w:rsid w:val="005C2FE2"/>
    <w:rsid w:val="005D2435"/>
    <w:rsid w:val="005D3645"/>
    <w:rsid w:val="005E2BC9"/>
    <w:rsid w:val="005F31E3"/>
    <w:rsid w:val="00605102"/>
    <w:rsid w:val="006215AA"/>
    <w:rsid w:val="006913C9"/>
    <w:rsid w:val="0069470D"/>
    <w:rsid w:val="006B43DD"/>
    <w:rsid w:val="006C54A0"/>
    <w:rsid w:val="00720C7E"/>
    <w:rsid w:val="00734F00"/>
    <w:rsid w:val="00796486"/>
    <w:rsid w:val="007A70AE"/>
    <w:rsid w:val="008362E8"/>
    <w:rsid w:val="00863D05"/>
    <w:rsid w:val="008A165D"/>
    <w:rsid w:val="008A1768"/>
    <w:rsid w:val="008C0A7A"/>
    <w:rsid w:val="008D4E65"/>
    <w:rsid w:val="008F0F33"/>
    <w:rsid w:val="008F4429"/>
    <w:rsid w:val="00935DF0"/>
    <w:rsid w:val="0094021A"/>
    <w:rsid w:val="00956770"/>
    <w:rsid w:val="009B44AF"/>
    <w:rsid w:val="009C6A0B"/>
    <w:rsid w:val="009F0C77"/>
    <w:rsid w:val="009F34D8"/>
    <w:rsid w:val="009F4DD1"/>
    <w:rsid w:val="00A22059"/>
    <w:rsid w:val="00A41684"/>
    <w:rsid w:val="00A64E80"/>
    <w:rsid w:val="00A72BCD"/>
    <w:rsid w:val="00A741D9"/>
    <w:rsid w:val="00A80134"/>
    <w:rsid w:val="00A833AB"/>
    <w:rsid w:val="00A9741D"/>
    <w:rsid w:val="00AD4B17"/>
    <w:rsid w:val="00B20E38"/>
    <w:rsid w:val="00B412D4"/>
    <w:rsid w:val="00BE3C22"/>
    <w:rsid w:val="00BF25D9"/>
    <w:rsid w:val="00C0345E"/>
    <w:rsid w:val="00C3483A"/>
    <w:rsid w:val="00C35AE2"/>
    <w:rsid w:val="00C74E9D"/>
    <w:rsid w:val="00C82FD3"/>
    <w:rsid w:val="00C92819"/>
    <w:rsid w:val="00CC6B7B"/>
    <w:rsid w:val="00CD2089"/>
    <w:rsid w:val="00D718D3"/>
    <w:rsid w:val="00D73A67"/>
    <w:rsid w:val="00D970A9"/>
    <w:rsid w:val="00DF3845"/>
    <w:rsid w:val="00E205EC"/>
    <w:rsid w:val="00E41911"/>
    <w:rsid w:val="00E83C8C"/>
    <w:rsid w:val="00E92EEF"/>
    <w:rsid w:val="00EC4556"/>
    <w:rsid w:val="00EE40C3"/>
    <w:rsid w:val="00EF2368"/>
    <w:rsid w:val="00F24442"/>
    <w:rsid w:val="00F331FE"/>
    <w:rsid w:val="00F50AE3"/>
    <w:rsid w:val="00F656BA"/>
    <w:rsid w:val="00F67CF1"/>
    <w:rsid w:val="00F71B1B"/>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E3700B-5EE9-4633-88A1-82FF05B03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0C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C7E"/>
    <w:rPr>
      <w:rFonts w:ascii="Segoe UI" w:eastAsia="Times New Roman" w:hAnsi="Segoe UI" w:cs="Segoe UI"/>
      <w:sz w:val="18"/>
      <w:szCs w:val="18"/>
    </w:rPr>
  </w:style>
  <w:style w:type="character" w:styleId="Hyperlink">
    <w:name w:val="Hyperlink"/>
    <w:basedOn w:val="DefaultParagraphFont"/>
    <w:uiPriority w:val="99"/>
    <w:unhideWhenUsed/>
    <w:rsid w:val="00BF25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4-15.docx" TargetMode="External"/><Relationship Id="rId13" Type="http://schemas.openxmlformats.org/officeDocument/2006/relationships/hyperlink" Target="file:///h:\HJ%20Archive\2015\04-29-15.docx" TargetMode="External"/><Relationship Id="rId18" Type="http://schemas.openxmlformats.org/officeDocument/2006/relationships/hyperlink" Target="file:///p:\pprever\2015-16\3979_20150422.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5\04-14-15.docx" TargetMode="External"/><Relationship Id="rId12" Type="http://schemas.openxmlformats.org/officeDocument/2006/relationships/hyperlink" Target="file:///h:\HJ%20Archive\2015\04-29-15.docx" TargetMode="External"/><Relationship Id="rId17" Type="http://schemas.openxmlformats.org/officeDocument/2006/relationships/hyperlink" Target="file:///p:\pprever\2015-16\3979_20150414.docx" TargetMode="External"/><Relationship Id="rId2" Type="http://schemas.openxmlformats.org/officeDocument/2006/relationships/styles" Target="styles.xml"/><Relationship Id="rId16" Type="http://schemas.openxmlformats.org/officeDocument/2006/relationships/hyperlink" Target="http://www.scstatehouse.gov/billsearch.php?billnumbers=3979&amp;session=121&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28-15.docx" TargetMode="External"/><Relationship Id="rId5" Type="http://schemas.openxmlformats.org/officeDocument/2006/relationships/footnotes" Target="footnotes.xml"/><Relationship Id="rId15" Type="http://schemas.openxmlformats.org/officeDocument/2006/relationships/hyperlink" Target="file:///h:\SJ%20Archive\2015\04-29-15.docx" TargetMode="External"/><Relationship Id="rId23" Type="http://schemas.openxmlformats.org/officeDocument/2006/relationships/theme" Target="theme/theme1.xml"/><Relationship Id="rId10" Type="http://schemas.openxmlformats.org/officeDocument/2006/relationships/hyperlink" Target="file:///h:\HJ%20Archive\2015\04-28-15.docx" TargetMode="External"/><Relationship Id="rId19" Type="http://schemas.openxmlformats.org/officeDocument/2006/relationships/hyperlink" Target="file:///p:\pprever\2015-16\3979_20150424.docx" TargetMode="External"/><Relationship Id="rId4" Type="http://schemas.openxmlformats.org/officeDocument/2006/relationships/webSettings" Target="webSettings.xml"/><Relationship Id="rId9" Type="http://schemas.openxmlformats.org/officeDocument/2006/relationships/hyperlink" Target="file:///h:\HJ%20Archive\2015\04-22-15.docx" TargetMode="External"/><Relationship Id="rId14" Type="http://schemas.openxmlformats.org/officeDocument/2006/relationships/hyperlink" Target="file:///h:\SJ%20Archive\2015\04-29-1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ED0DF-3A7D-4EAC-8161-B8F932793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2655</Words>
  <Characters>15135</Characters>
  <Application>Microsoft Office Word</Application>
  <DocSecurity>6</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3979: Judicial Merit Selection Commission - South Carolina Legislature Online</dc:title>
  <dc:creator>MarthaSanders</dc:creator>
  <cp:lastModifiedBy>N Cumfer</cp:lastModifiedBy>
  <cp:revision>2</cp:revision>
  <cp:lastPrinted>2015-03-30T18:00:00Z</cp:lastPrinted>
  <dcterms:created xsi:type="dcterms:W3CDTF">2016-12-02T18:57:00Z</dcterms:created>
  <dcterms:modified xsi:type="dcterms:W3CDTF">2016-12-02T18:57:00Z</dcterms:modified>
</cp:coreProperties>
</file>