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626AE">
        <w:rPr>
          <w:rFonts w:eastAsia="Times New Roman" w:cs="Times New Roman"/>
          <w:b/>
          <w:szCs w:val="20"/>
        </w:rPr>
        <w:t>South Carolina General Assembly</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26AE">
        <w:rPr>
          <w:rFonts w:eastAsia="Times New Roman" w:cs="Times New Roman"/>
          <w:szCs w:val="20"/>
        </w:rPr>
        <w:t>121st Session, 2015-2016</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BD1EBC"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 R54, S441</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b/>
          <w:szCs w:val="20"/>
        </w:rPr>
        <w:t>STATUS INFORMATION</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szCs w:val="20"/>
        </w:rPr>
        <w:t>General Bill</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szCs w:val="20"/>
        </w:rPr>
        <w:t>Sponsors: Senators Hayes and Hutto</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szCs w:val="20"/>
        </w:rPr>
        <w:t>Document Path: l:\council\bills\dka\3055sa15.docx</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szCs w:val="20"/>
        </w:rPr>
        <w:t>Companion/Similar bill(s): 4013</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11, 2015</w:t>
      </w: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2015</w:t>
      </w: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16, 2015</w:t>
      </w: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BD6F4F" w:rsidRDefault="00BD6F4F"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szCs w:val="20"/>
        </w:rPr>
        <w:t>Summary: Guaranteed Asset Protection Act</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4626AE" w:rsidP="004626AE">
      <w:pPr>
        <w:widowControl w:val="0"/>
        <w:tabs>
          <w:tab w:val="center" w:pos="590"/>
          <w:tab w:val="center" w:pos="1440"/>
          <w:tab w:val="left" w:pos="1872"/>
          <w:tab w:val="left" w:pos="9187"/>
        </w:tabs>
        <w:rPr>
          <w:rFonts w:eastAsia="Times New Roman" w:cs="Times New Roman"/>
          <w:szCs w:val="20"/>
        </w:rPr>
      </w:pPr>
      <w:r w:rsidRPr="004626AE">
        <w:rPr>
          <w:rFonts w:eastAsia="Times New Roman" w:cs="Times New Roman"/>
          <w:b/>
          <w:szCs w:val="20"/>
        </w:rPr>
        <w:t>HISTORY OF LEGISLATIVE ACTIONS</w:t>
      </w:r>
    </w:p>
    <w:p w:rsidR="004626AE" w:rsidRPr="004626AE" w:rsidRDefault="004626AE" w:rsidP="004626AE">
      <w:pPr>
        <w:widowControl w:val="0"/>
        <w:tabs>
          <w:tab w:val="center" w:pos="590"/>
          <w:tab w:val="center" w:pos="1440"/>
          <w:tab w:val="left" w:pos="1872"/>
          <w:tab w:val="left" w:pos="9187"/>
        </w:tabs>
        <w:rPr>
          <w:rFonts w:eastAsia="Times New Roman" w:cs="Times New Roman"/>
          <w:szCs w:val="20"/>
        </w:rPr>
      </w:pPr>
    </w:p>
    <w:p w:rsidR="004626AE" w:rsidRPr="004626AE" w:rsidRDefault="004626AE" w:rsidP="004626AE">
      <w:pPr>
        <w:widowControl w:val="0"/>
        <w:tabs>
          <w:tab w:val="center" w:pos="590"/>
          <w:tab w:val="center" w:pos="1440"/>
          <w:tab w:val="left" w:pos="1872"/>
          <w:tab w:val="left" w:pos="9187"/>
        </w:tabs>
        <w:rPr>
          <w:rFonts w:eastAsia="Times New Roman" w:cs="Times New Roman"/>
          <w:szCs w:val="20"/>
        </w:rPr>
      </w:pPr>
      <w:r w:rsidRPr="004626AE">
        <w:rPr>
          <w:rFonts w:eastAsia="Times New Roman" w:cs="Times New Roman"/>
          <w:szCs w:val="20"/>
          <w:u w:val="single"/>
        </w:rPr>
        <w:tab/>
        <w:t>Date</w:t>
      </w:r>
      <w:r w:rsidRPr="004626AE">
        <w:rPr>
          <w:rFonts w:eastAsia="Times New Roman" w:cs="Times New Roman"/>
          <w:szCs w:val="20"/>
          <w:u w:val="single"/>
        </w:rPr>
        <w:tab/>
        <w:t>Body</w:t>
      </w:r>
      <w:r w:rsidRPr="004626AE">
        <w:rPr>
          <w:rFonts w:eastAsia="Times New Roman" w:cs="Times New Roman"/>
          <w:szCs w:val="20"/>
          <w:u w:val="single"/>
        </w:rPr>
        <w:tab/>
        <w:t>Action Description with journal page number</w:t>
      </w:r>
      <w:r w:rsidRPr="004626AE">
        <w:rPr>
          <w:rFonts w:eastAsia="Times New Roman" w:cs="Times New Roman"/>
          <w:szCs w:val="20"/>
          <w:u w:val="single"/>
        </w:rPr>
        <w:tab/>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742E43">
        <w:rPr>
          <w:rFonts w:cs="Times New Roman"/>
        </w:rPr>
        <w:t>Introduced and read first time (</w:t>
      </w:r>
      <w:hyperlink r:id="rId6" w:history="1">
        <w:r w:rsidRPr="00FE30CE">
          <w:rPr>
            <w:rStyle w:val="Hyperlink"/>
            <w:rFonts w:cs="Times New Roman"/>
          </w:rPr>
          <w:t>Senate Journal</w:t>
        </w:r>
        <w:r w:rsidRPr="00FE30CE">
          <w:rPr>
            <w:rStyle w:val="Hyperlink"/>
            <w:rFonts w:cs="Times New Roman"/>
          </w:rPr>
          <w:noBreakHyphen/>
          <w:t>page 3</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742E43">
        <w:rPr>
          <w:rFonts w:cs="Times New Roman"/>
        </w:rPr>
        <w:t>Referred to Com</w:t>
      </w:r>
      <w:r>
        <w:rPr>
          <w:rFonts w:cs="Times New Roman"/>
        </w:rPr>
        <w:t xml:space="preserve">mittee on </w:t>
      </w:r>
      <w:r w:rsidRPr="00742E43">
        <w:rPr>
          <w:rFonts w:cs="Times New Roman"/>
          <w:b/>
        </w:rPr>
        <w:t>Banking and Insurance</w:t>
      </w:r>
      <w:r>
        <w:rPr>
          <w:rFonts w:cs="Times New Roman"/>
        </w:rPr>
        <w:t xml:space="preserve"> </w:t>
      </w:r>
      <w:r w:rsidRPr="00742E43">
        <w:rPr>
          <w:rFonts w:cs="Times New Roman"/>
        </w:rPr>
        <w:t>(</w:t>
      </w:r>
      <w:hyperlink r:id="rId7" w:history="1">
        <w:r w:rsidRPr="00FE30CE">
          <w:rPr>
            <w:rStyle w:val="Hyperlink"/>
            <w:rFonts w:cs="Times New Roman"/>
          </w:rPr>
          <w:t>Senate Journal</w:t>
        </w:r>
        <w:r w:rsidRPr="00FE30CE">
          <w:rPr>
            <w:rStyle w:val="Hyperlink"/>
            <w:rFonts w:cs="Times New Roman"/>
          </w:rPr>
          <w:noBreakHyphen/>
          <w:t>page 3</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742E43">
        <w:rPr>
          <w:rFonts w:cs="Times New Roman"/>
        </w:rPr>
        <w:t>Committee r</w:t>
      </w:r>
      <w:r>
        <w:rPr>
          <w:rFonts w:cs="Times New Roman"/>
        </w:rPr>
        <w:t xml:space="preserve">eport: Favorable with amendment </w:t>
      </w:r>
      <w:r w:rsidRPr="00742E43">
        <w:rPr>
          <w:rFonts w:cs="Times New Roman"/>
          <w:b/>
        </w:rPr>
        <w:t>Banking and Insurance</w:t>
      </w:r>
      <w:r w:rsidRPr="00742E43">
        <w:rPr>
          <w:rFonts w:cs="Times New Roman"/>
        </w:rPr>
        <w:t xml:space="preserve"> (</w:t>
      </w:r>
      <w:hyperlink r:id="rId8" w:history="1">
        <w:r w:rsidRPr="00FE30CE">
          <w:rPr>
            <w:rStyle w:val="Hyperlink"/>
            <w:rFonts w:cs="Times New Roman"/>
          </w:rPr>
          <w:t>Senate Journal</w:t>
        </w:r>
        <w:r w:rsidRPr="00FE30CE">
          <w:rPr>
            <w:rStyle w:val="Hyperlink"/>
            <w:rFonts w:cs="Times New Roman"/>
          </w:rPr>
          <w:noBreakHyphen/>
          <w:t>page 17</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r>
      <w:r>
        <w:rPr>
          <w:rFonts w:cs="Times New Roman"/>
        </w:rPr>
        <w:tab/>
      </w:r>
      <w:r w:rsidRPr="00742E43">
        <w:rPr>
          <w:rFonts w:cs="Times New Roman"/>
        </w:rPr>
        <w:t>Scrivener's error corrected</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742E43">
        <w:rPr>
          <w:rFonts w:cs="Times New Roman"/>
        </w:rPr>
        <w:t>Committee Amendment Adopted (</w:t>
      </w:r>
      <w:hyperlink r:id="rId9" w:history="1">
        <w:r w:rsidRPr="00FE30CE">
          <w:rPr>
            <w:rStyle w:val="Hyperlink"/>
            <w:rFonts w:cs="Times New Roman"/>
          </w:rPr>
          <w:t>Senate Journal</w:t>
        </w:r>
        <w:r w:rsidRPr="00FE30CE">
          <w:rPr>
            <w:rStyle w:val="Hyperlink"/>
            <w:rFonts w:cs="Times New Roman"/>
          </w:rPr>
          <w:noBreakHyphen/>
          <w:t>page 28</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42E43">
        <w:rPr>
          <w:rFonts w:cs="Times New Roman"/>
        </w:rPr>
        <w:t>Amended (</w:t>
      </w:r>
      <w:hyperlink r:id="rId10" w:history="1">
        <w:r w:rsidRPr="00FE30CE">
          <w:rPr>
            <w:rStyle w:val="Hyperlink"/>
            <w:rFonts w:cs="Times New Roman"/>
          </w:rPr>
          <w:t>Senate Journal</w:t>
        </w:r>
        <w:r w:rsidRPr="00FE30CE">
          <w:rPr>
            <w:rStyle w:val="Hyperlink"/>
            <w:rFonts w:cs="Times New Roman"/>
          </w:rPr>
          <w:noBreakHyphen/>
          <w:t>page 16</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42E43">
        <w:rPr>
          <w:rFonts w:cs="Times New Roman"/>
        </w:rPr>
        <w:t>Read second time (</w:t>
      </w:r>
      <w:hyperlink r:id="rId11" w:history="1">
        <w:r w:rsidRPr="00FE30CE">
          <w:rPr>
            <w:rStyle w:val="Hyperlink"/>
            <w:rFonts w:cs="Times New Roman"/>
          </w:rPr>
          <w:t>Senate Journal</w:t>
        </w:r>
        <w:r w:rsidRPr="00FE30CE">
          <w:rPr>
            <w:rStyle w:val="Hyperlink"/>
            <w:rFonts w:cs="Times New Roman"/>
          </w:rPr>
          <w:noBreakHyphen/>
          <w:t>page 16</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742E43">
        <w:rPr>
          <w:rFonts w:cs="Times New Roman"/>
        </w:rPr>
        <w:t>Roll call Ayes</w:t>
      </w:r>
      <w:r>
        <w:rPr>
          <w:rFonts w:cs="Times New Roman"/>
        </w:rPr>
        <w:noBreakHyphen/>
      </w:r>
      <w:r w:rsidRPr="00742E43">
        <w:rPr>
          <w:rFonts w:cs="Times New Roman"/>
        </w:rPr>
        <w:t>37  Nays</w:t>
      </w:r>
      <w:r>
        <w:rPr>
          <w:rFonts w:cs="Times New Roman"/>
        </w:rPr>
        <w:noBreakHyphen/>
      </w:r>
      <w:r w:rsidRPr="00742E43">
        <w:rPr>
          <w:rFonts w:cs="Times New Roman"/>
        </w:rPr>
        <w:t>2 (</w:t>
      </w:r>
      <w:hyperlink r:id="rId12" w:history="1">
        <w:r w:rsidRPr="00FE30CE">
          <w:rPr>
            <w:rStyle w:val="Hyperlink"/>
            <w:rFonts w:cs="Times New Roman"/>
          </w:rPr>
          <w:t>Senate Journal</w:t>
        </w:r>
        <w:r w:rsidRPr="00FE30CE">
          <w:rPr>
            <w:rStyle w:val="Hyperlink"/>
            <w:rFonts w:cs="Times New Roman"/>
          </w:rPr>
          <w:noBreakHyphen/>
          <w:t>page 16</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4/17/2015</w:t>
      </w:r>
      <w:r>
        <w:rPr>
          <w:rFonts w:cs="Times New Roman"/>
        </w:rPr>
        <w:tab/>
      </w:r>
      <w:r>
        <w:rPr>
          <w:rFonts w:cs="Times New Roman"/>
        </w:rPr>
        <w:tab/>
      </w:r>
      <w:r w:rsidRPr="00742E43">
        <w:rPr>
          <w:rFonts w:cs="Times New Roman"/>
        </w:rPr>
        <w:t>Scrivener's error corrected</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742E43">
        <w:rPr>
          <w:rFonts w:cs="Times New Roman"/>
        </w:rPr>
        <w:t>Re</w:t>
      </w:r>
      <w:r>
        <w:rPr>
          <w:rFonts w:cs="Times New Roman"/>
        </w:rPr>
        <w:t xml:space="preserve">ad third time and sent to House </w:t>
      </w:r>
      <w:r w:rsidRPr="00742E43">
        <w:rPr>
          <w:rFonts w:cs="Times New Roman"/>
        </w:rPr>
        <w:t>(</w:t>
      </w:r>
      <w:hyperlink r:id="rId13" w:history="1">
        <w:r w:rsidRPr="00FE30CE">
          <w:rPr>
            <w:rStyle w:val="Hyperlink"/>
            <w:rFonts w:cs="Times New Roman"/>
          </w:rPr>
          <w:t>Senate Journal</w:t>
        </w:r>
        <w:r w:rsidRPr="00FE30CE">
          <w:rPr>
            <w:rStyle w:val="Hyperlink"/>
            <w:rFonts w:cs="Times New Roman"/>
          </w:rPr>
          <w:noBreakHyphen/>
          <w:t>page 29</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742E43">
        <w:rPr>
          <w:rFonts w:cs="Times New Roman"/>
        </w:rPr>
        <w:t>Introduced and read first time (</w:t>
      </w:r>
      <w:hyperlink r:id="rId14" w:history="1">
        <w:r w:rsidRPr="00FE30CE">
          <w:rPr>
            <w:rStyle w:val="Hyperlink"/>
            <w:rFonts w:cs="Times New Roman"/>
          </w:rPr>
          <w:t>House Journal</w:t>
        </w:r>
        <w:r w:rsidRPr="00FE30CE">
          <w:rPr>
            <w:rStyle w:val="Hyperlink"/>
            <w:rFonts w:cs="Times New Roman"/>
          </w:rPr>
          <w:noBreakHyphen/>
          <w:t>page 19</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742E43">
        <w:rPr>
          <w:rFonts w:cs="Times New Roman"/>
        </w:rPr>
        <w:t>Referred to C</w:t>
      </w:r>
      <w:r>
        <w:rPr>
          <w:rFonts w:cs="Times New Roman"/>
        </w:rPr>
        <w:t xml:space="preserve">ommittee on </w:t>
      </w:r>
      <w:r w:rsidRPr="00742E43">
        <w:rPr>
          <w:rFonts w:cs="Times New Roman"/>
          <w:b/>
        </w:rPr>
        <w:t>Labor, Commerce and Industry</w:t>
      </w:r>
      <w:r w:rsidRPr="00742E43">
        <w:rPr>
          <w:rFonts w:cs="Times New Roman"/>
        </w:rPr>
        <w:t xml:space="preserve"> (</w:t>
      </w:r>
      <w:hyperlink r:id="rId15" w:history="1">
        <w:r w:rsidRPr="00FE30CE">
          <w:rPr>
            <w:rStyle w:val="Hyperlink"/>
            <w:rFonts w:cs="Times New Roman"/>
          </w:rPr>
          <w:t>House Journal</w:t>
        </w:r>
        <w:r w:rsidRPr="00FE30CE">
          <w:rPr>
            <w:rStyle w:val="Hyperlink"/>
            <w:rFonts w:cs="Times New Roman"/>
          </w:rPr>
          <w:noBreakHyphen/>
          <w:t>page 19</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742E43">
        <w:rPr>
          <w:rFonts w:cs="Times New Roman"/>
        </w:rPr>
        <w:t>Committee report</w:t>
      </w:r>
      <w:r>
        <w:rPr>
          <w:rFonts w:cs="Times New Roman"/>
        </w:rPr>
        <w:t xml:space="preserve">: Favorable </w:t>
      </w:r>
      <w:r w:rsidRPr="00742E43">
        <w:rPr>
          <w:rFonts w:cs="Times New Roman"/>
          <w:b/>
        </w:rPr>
        <w:t>Labor, Commerce and Industry</w:t>
      </w:r>
      <w:r w:rsidRPr="00742E43">
        <w:rPr>
          <w:rFonts w:cs="Times New Roman"/>
        </w:rPr>
        <w:t xml:space="preserve"> (</w:t>
      </w:r>
      <w:hyperlink r:id="rId16" w:history="1">
        <w:r w:rsidRPr="00FE30CE">
          <w:rPr>
            <w:rStyle w:val="Hyperlink"/>
            <w:rFonts w:cs="Times New Roman"/>
          </w:rPr>
          <w:t>House Journal</w:t>
        </w:r>
        <w:r w:rsidRPr="00FE30CE">
          <w:rPr>
            <w:rStyle w:val="Hyperlink"/>
            <w:rFonts w:cs="Times New Roman"/>
          </w:rPr>
          <w:noBreakHyphen/>
          <w:t>page 37</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742E43">
        <w:rPr>
          <w:rFonts w:cs="Times New Roman"/>
        </w:rPr>
        <w:t>Read second time (</w:t>
      </w:r>
      <w:hyperlink r:id="rId17" w:history="1">
        <w:r w:rsidRPr="00FE30CE">
          <w:rPr>
            <w:rStyle w:val="Hyperlink"/>
            <w:rFonts w:cs="Times New Roman"/>
          </w:rPr>
          <w:t>House Journal</w:t>
        </w:r>
        <w:r w:rsidRPr="00FE30CE">
          <w:rPr>
            <w:rStyle w:val="Hyperlink"/>
            <w:rFonts w:cs="Times New Roman"/>
          </w:rPr>
          <w:noBreakHyphen/>
          <w:t>page 41</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742E43">
        <w:rPr>
          <w:rFonts w:cs="Times New Roman"/>
        </w:rPr>
        <w:t>Roll call Yeas</w:t>
      </w:r>
      <w:r>
        <w:rPr>
          <w:rFonts w:cs="Times New Roman"/>
        </w:rPr>
        <w:noBreakHyphen/>
      </w:r>
      <w:r w:rsidRPr="00742E43">
        <w:rPr>
          <w:rFonts w:cs="Times New Roman"/>
        </w:rPr>
        <w:t>88  Nays</w:t>
      </w:r>
      <w:r>
        <w:rPr>
          <w:rFonts w:cs="Times New Roman"/>
        </w:rPr>
        <w:noBreakHyphen/>
      </w:r>
      <w:r w:rsidRPr="00742E43">
        <w:rPr>
          <w:rFonts w:cs="Times New Roman"/>
        </w:rPr>
        <w:t>0 (</w:t>
      </w:r>
      <w:hyperlink r:id="rId18" w:history="1">
        <w:r w:rsidRPr="00FE30CE">
          <w:rPr>
            <w:rStyle w:val="Hyperlink"/>
            <w:rFonts w:cs="Times New Roman"/>
          </w:rPr>
          <w:t>House Journal</w:t>
        </w:r>
        <w:r w:rsidRPr="00FE30CE">
          <w:rPr>
            <w:rStyle w:val="Hyperlink"/>
            <w:rFonts w:cs="Times New Roman"/>
          </w:rPr>
          <w:noBreakHyphen/>
          <w:t>page 42</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742E43">
        <w:rPr>
          <w:rFonts w:cs="Times New Roman"/>
        </w:rPr>
        <w:t>Read third time and enrolled (</w:t>
      </w:r>
      <w:hyperlink r:id="rId19" w:history="1">
        <w:r w:rsidRPr="00FE30CE">
          <w:rPr>
            <w:rStyle w:val="Hyperlink"/>
            <w:rFonts w:cs="Times New Roman"/>
          </w:rPr>
          <w:t>House Journal</w:t>
        </w:r>
        <w:r w:rsidRPr="00FE30CE">
          <w:rPr>
            <w:rStyle w:val="Hyperlink"/>
            <w:rFonts w:cs="Times New Roman"/>
          </w:rPr>
          <w:noBreakHyphen/>
          <w:t>page 14</w:t>
        </w:r>
      </w:hyperlink>
      <w:r w:rsidRPr="00742E43">
        <w:rPr>
          <w:rFonts w:cs="Times New Roman"/>
        </w:rPr>
        <w:t>)</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742E43">
        <w:rPr>
          <w:rFonts w:cs="Times New Roman"/>
        </w:rPr>
        <w:t>Ratified R 54</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742E43">
        <w:rPr>
          <w:rFonts w:cs="Times New Roman"/>
        </w:rPr>
        <w:t>Signed By Governor</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742E43">
        <w:rPr>
          <w:rFonts w:cs="Times New Roman"/>
        </w:rPr>
        <w:t>Effective date See Act for Effective Date</w:t>
      </w:r>
    </w:p>
    <w:p w:rsidR="00BD1EBC" w:rsidRDefault="00BD1EBC" w:rsidP="00BD1EBC">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742E43">
        <w:rPr>
          <w:rFonts w:cs="Times New Roman"/>
        </w:rPr>
        <w:t>Act No</w:t>
      </w:r>
      <w:r>
        <w:rPr>
          <w:rFonts w:cs="Times New Roman"/>
        </w:rPr>
        <w:t>. </w:t>
      </w:r>
      <w:r w:rsidRPr="00742E43">
        <w:rPr>
          <w:rFonts w:cs="Times New Roman"/>
        </w:rPr>
        <w:t>31</w:t>
      </w:r>
    </w:p>
    <w:p w:rsidR="00BD1EBC" w:rsidRDefault="00BD1EBC" w:rsidP="00BD1EBC">
      <w:pPr>
        <w:widowControl w:val="0"/>
        <w:tabs>
          <w:tab w:val="right" w:pos="1008"/>
          <w:tab w:val="left" w:pos="1152"/>
          <w:tab w:val="left" w:pos="1872"/>
          <w:tab w:val="left" w:pos="9187"/>
        </w:tabs>
        <w:ind w:left="2088" w:hanging="2088"/>
        <w:rPr>
          <w:rFonts w:cs="Times New Roman"/>
        </w:rPr>
      </w:pPr>
    </w:p>
    <w:p w:rsidR="004626AE" w:rsidRPr="004626AE" w:rsidRDefault="004626AE" w:rsidP="004626AE">
      <w:pPr>
        <w:widowControl w:val="0"/>
        <w:tabs>
          <w:tab w:val="right" w:pos="1008"/>
          <w:tab w:val="left" w:pos="1152"/>
          <w:tab w:val="left" w:pos="1872"/>
          <w:tab w:val="left" w:pos="9187"/>
        </w:tabs>
        <w:ind w:left="2088" w:hanging="2088"/>
        <w:rPr>
          <w:rFonts w:eastAsia="Times New Roman" w:cs="Times New Roman"/>
          <w:szCs w:val="20"/>
        </w:rPr>
      </w:pPr>
      <w:r w:rsidRPr="004626AE">
        <w:rPr>
          <w:rFonts w:eastAsia="Times New Roman" w:cs="Times New Roman"/>
          <w:szCs w:val="20"/>
        </w:rPr>
        <w:t xml:space="preserve">View the latest </w:t>
      </w:r>
      <w:hyperlink r:id="rId20" w:history="1">
        <w:r w:rsidRPr="004626AE">
          <w:rPr>
            <w:rFonts w:eastAsia="Times New Roman" w:cs="Times New Roman"/>
            <w:color w:val="0000FF" w:themeColor="hyperlink"/>
            <w:szCs w:val="20"/>
            <w:u w:val="single"/>
          </w:rPr>
          <w:t>legislative information</w:t>
        </w:r>
      </w:hyperlink>
      <w:r w:rsidRPr="004626AE">
        <w:rPr>
          <w:rFonts w:eastAsia="Times New Roman" w:cs="Times New Roman"/>
          <w:szCs w:val="20"/>
        </w:rPr>
        <w:t xml:space="preserve"> at the website</w:t>
      </w:r>
    </w:p>
    <w:p w:rsidR="004626AE" w:rsidRPr="004626AE" w:rsidRDefault="004626AE" w:rsidP="004626AE">
      <w:pPr>
        <w:widowControl w:val="0"/>
        <w:tabs>
          <w:tab w:val="right" w:pos="1008"/>
          <w:tab w:val="left" w:pos="1152"/>
          <w:tab w:val="left" w:pos="1872"/>
          <w:tab w:val="left" w:pos="9187"/>
        </w:tabs>
        <w:ind w:left="2088" w:hanging="2088"/>
        <w:rPr>
          <w:rFonts w:eastAsia="Times New Roman" w:cs="Times New Roman"/>
          <w:szCs w:val="20"/>
        </w:rPr>
      </w:pPr>
    </w:p>
    <w:p w:rsidR="004626AE" w:rsidRPr="004626AE" w:rsidRDefault="004626AE" w:rsidP="004626AE">
      <w:pPr>
        <w:widowControl w:val="0"/>
        <w:tabs>
          <w:tab w:val="right" w:pos="1008"/>
          <w:tab w:val="left" w:pos="1152"/>
          <w:tab w:val="left" w:pos="1872"/>
          <w:tab w:val="left" w:pos="9187"/>
        </w:tabs>
        <w:ind w:left="2088" w:hanging="2088"/>
        <w:rPr>
          <w:rFonts w:eastAsia="Times New Roman" w:cs="Times New Roman"/>
          <w:szCs w:val="20"/>
        </w:rPr>
      </w:pP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6AE">
        <w:rPr>
          <w:rFonts w:eastAsia="Times New Roman" w:cs="Times New Roman"/>
          <w:b/>
          <w:szCs w:val="20"/>
        </w:rPr>
        <w:t>VERSIONS OF THIS BILL</w:t>
      </w:r>
    </w:p>
    <w:p w:rsidR="004626AE" w:rsidRPr="004626AE" w:rsidRDefault="004626A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6AE" w:rsidRPr="004626AE" w:rsidRDefault="00FE30CE" w:rsidP="004626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626AE" w:rsidRPr="004626AE">
          <w:rPr>
            <w:rFonts w:eastAsia="Times New Roman" w:cs="Times New Roman"/>
            <w:color w:val="0000FF" w:themeColor="hyperlink"/>
            <w:szCs w:val="20"/>
            <w:u w:val="single"/>
          </w:rPr>
          <w:t>2/11/2015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626AE" w:rsidRPr="004626AE">
          <w:rPr>
            <w:rFonts w:eastAsia="Times New Roman" w:cs="Times New Roman"/>
            <w:color w:val="0000FF" w:themeColor="hyperlink"/>
            <w:szCs w:val="20"/>
            <w:u w:val="single"/>
          </w:rPr>
          <w:t>3/25/2015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626AE" w:rsidRPr="004626AE">
          <w:rPr>
            <w:rFonts w:eastAsia="Times New Roman" w:cs="Times New Roman"/>
            <w:color w:val="0000FF" w:themeColor="hyperlink"/>
            <w:szCs w:val="20"/>
            <w:u w:val="single"/>
          </w:rPr>
          <w:t>3/26/2015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626AE" w:rsidRPr="004626AE">
          <w:rPr>
            <w:rFonts w:eastAsia="Times New Roman" w:cs="Times New Roman"/>
            <w:color w:val="0000FF" w:themeColor="hyperlink"/>
            <w:szCs w:val="20"/>
            <w:u w:val="single"/>
          </w:rPr>
          <w:t>4/15/2015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626AE" w:rsidRPr="004626AE">
          <w:rPr>
            <w:rFonts w:eastAsia="Times New Roman" w:cs="Times New Roman"/>
            <w:color w:val="0000FF" w:themeColor="hyperlink"/>
            <w:szCs w:val="20"/>
            <w:u w:val="single"/>
          </w:rPr>
          <w:t>4/16/2015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626AE" w:rsidRPr="004626AE">
          <w:rPr>
            <w:rFonts w:eastAsia="Times New Roman" w:cs="Times New Roman"/>
            <w:color w:val="0000FF" w:themeColor="hyperlink"/>
            <w:szCs w:val="20"/>
            <w:u w:val="single"/>
          </w:rPr>
          <w:t>4/17/2015</w:t>
        </w:r>
      </w:hyperlink>
    </w:p>
    <w:p w:rsidR="004626AE" w:rsidRPr="004626AE" w:rsidRDefault="00FE30C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626AE" w:rsidRPr="004626AE">
          <w:rPr>
            <w:rFonts w:eastAsia="Times New Roman" w:cs="Times New Roman"/>
            <w:color w:val="0000FF" w:themeColor="hyperlink"/>
            <w:szCs w:val="20"/>
            <w:u w:val="single"/>
          </w:rPr>
          <w:t>5/14/2015</w:t>
        </w:r>
      </w:hyperlink>
    </w:p>
    <w:p w:rsidR="004626AE" w:rsidRPr="004626AE" w:rsidRDefault="004626A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26AE" w:rsidRDefault="004626AE" w:rsidP="0046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26AE" w:rsidSect="004626AE">
          <w:pgSz w:w="12240" w:h="15840" w:code="1"/>
          <w:pgMar w:top="1080" w:right="1440" w:bottom="1080" w:left="1440" w:header="720" w:footer="720" w:gutter="0"/>
          <w:pgNumType w:start="1"/>
          <w:cols w:space="720"/>
          <w:noEndnote/>
          <w:docGrid w:linePitch="360"/>
        </w:sectPr>
      </w:pPr>
    </w:p>
    <w:p w:rsidR="00345613"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R54, S441)</w:t>
      </w:r>
    </w:p>
    <w:p w:rsidR="00345613" w:rsidRPr="008836A5"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5613" w:rsidRPr="004626AE"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26AE">
        <w:rPr>
          <w:rFonts w:cs="Times New Roman"/>
          <w:b/>
          <w:color w:val="000000" w:themeColor="text1"/>
          <w:szCs w:val="36"/>
        </w:rPr>
        <w:t xml:space="preserve">AN ACT </w:t>
      </w:r>
      <w:r w:rsidRPr="004626AE">
        <w:rPr>
          <w:rFonts w:cs="Times New Roman"/>
          <w:b/>
        </w:rPr>
        <w:t>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TO PROVIDE FOR ENFORCEMENT OF THIS CHAPTER, AND TO PROVIDE FOR CIVIL REMEDIES.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6709">
        <w:rPr>
          <w:rFonts w:cs="Times New Roman"/>
        </w:rPr>
        <w:t>Be it enacted by the General Assembly of the State of South Carolina:</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613" w:rsidRPr="00EF7290"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Citation</w:t>
      </w:r>
    </w:p>
    <w:p w:rsidR="00345613"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snapToGrid w:val="0"/>
        </w:rPr>
        <w:t>SECTION</w:t>
      </w:r>
      <w:r w:rsidRPr="00166709">
        <w:rPr>
          <w:rFonts w:cs="Times New Roman"/>
          <w:snapToGrid w:val="0"/>
        </w:rPr>
        <w:tab/>
        <w:t>1.</w:t>
      </w:r>
      <w:r w:rsidRPr="00166709">
        <w:rPr>
          <w:rFonts w:cs="Times New Roman"/>
          <w:snapToGrid w:val="0"/>
        </w:rPr>
        <w:tab/>
      </w:r>
      <w:r w:rsidRPr="00166709">
        <w:rPr>
          <w:rFonts w:cs="Times New Roman"/>
          <w:color w:val="000000" w:themeColor="text1"/>
          <w:u w:color="000000" w:themeColor="text1"/>
        </w:rPr>
        <w:t>This act may be cited as the “Guaranteed Asset Protection Act”.</w:t>
      </w:r>
    </w:p>
    <w:p w:rsidR="00345613"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EF7290"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Guaranteed Asset Protection Act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SECTION</w:t>
      </w:r>
      <w:r w:rsidRPr="00166709">
        <w:rPr>
          <w:rFonts w:cs="Times New Roman"/>
          <w:color w:val="000000" w:themeColor="text1"/>
          <w:u w:color="000000" w:themeColor="text1"/>
        </w:rPr>
        <w:tab/>
        <w:t>2.</w:t>
      </w:r>
      <w:r w:rsidRPr="00166709">
        <w:rPr>
          <w:rFonts w:cs="Times New Roman"/>
          <w:color w:val="000000" w:themeColor="text1"/>
          <w:u w:color="000000" w:themeColor="text1"/>
        </w:rPr>
        <w:tab/>
        <w:t>Title 37 of the 1976 Code is amended by adding:</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6709">
        <w:rPr>
          <w:rFonts w:cs="Times New Roman"/>
          <w:color w:val="000000" w:themeColor="text1"/>
          <w:u w:color="000000" w:themeColor="text1"/>
        </w:rPr>
        <w:t>“CHAPTER 30</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166709">
        <w:rPr>
          <w:rFonts w:cs="Times New Roman"/>
          <w:color w:val="000000" w:themeColor="text1"/>
          <w:u w:color="000000" w:themeColor="text1"/>
        </w:rPr>
        <w:t>Guaranteed Asset Protection</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100.</w:t>
      </w:r>
      <w:r w:rsidRPr="00166709">
        <w:rPr>
          <w:rFonts w:cs="Times New Roman"/>
          <w:color w:val="000000" w:themeColor="text1"/>
          <w:u w:color="000000" w:themeColor="text1"/>
        </w:rPr>
        <w:tab/>
        <w:t>(A)</w:t>
      </w:r>
      <w:r w:rsidRPr="00166709">
        <w:rPr>
          <w:rFonts w:cs="Times New Roman"/>
          <w:color w:val="000000" w:themeColor="text1"/>
          <w:u w:color="000000" w:themeColor="text1"/>
        </w:rPr>
        <w:tab/>
        <w:t>The purpose of this chapter is to provide a framework within which guaranteed asset protection (GAP) waivers are defined and may be offered within this State.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(B)</w:t>
      </w:r>
      <w:r w:rsidRPr="00166709">
        <w:rPr>
          <w:rFonts w:cs="Times New Roman"/>
          <w:color w:val="000000" w:themeColor="text1"/>
          <w:u w:color="000000" w:themeColor="text1"/>
        </w:rPr>
        <w:tab/>
        <w:t>This chapter does not apply to:</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(1)</w:t>
      </w:r>
      <w:r w:rsidRPr="00166709">
        <w:rPr>
          <w:rFonts w:cs="Times New Roman"/>
          <w:color w:val="000000" w:themeColor="text1"/>
          <w:u w:color="000000" w:themeColor="text1"/>
        </w:rPr>
        <w:tab/>
        <w:t>an insurance policy offered by an insurer under Title 38; or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a debt cancellation or debt suspension contract being o</w:t>
      </w:r>
      <w:r>
        <w:rPr>
          <w:rFonts w:cs="Times New Roman"/>
          <w:color w:val="000000" w:themeColor="text1"/>
          <w:u w:color="000000" w:themeColor="text1"/>
        </w:rPr>
        <w:t>ffered by any national or state</w:t>
      </w:r>
      <w:r>
        <w:rPr>
          <w:rFonts w:cs="Times New Roman"/>
          <w:color w:val="000000" w:themeColor="text1"/>
          <w:u w:color="000000" w:themeColor="text1"/>
        </w:rPr>
        <w:noBreakHyphen/>
      </w:r>
      <w:r w:rsidRPr="00166709">
        <w:rPr>
          <w:rFonts w:cs="Times New Roman"/>
          <w:color w:val="000000" w:themeColor="text1"/>
          <w:u w:color="000000" w:themeColor="text1"/>
        </w:rPr>
        <w:t>cha</w:t>
      </w:r>
      <w:r>
        <w:rPr>
          <w:rFonts w:cs="Times New Roman"/>
          <w:color w:val="000000" w:themeColor="text1"/>
          <w:u w:color="000000" w:themeColor="text1"/>
        </w:rPr>
        <w:t>rtered bank or federal or state</w:t>
      </w:r>
      <w:r>
        <w:rPr>
          <w:rFonts w:cs="Times New Roman"/>
          <w:color w:val="000000" w:themeColor="text1"/>
          <w:u w:color="000000" w:themeColor="text1"/>
        </w:rPr>
        <w:noBreakHyphen/>
      </w:r>
      <w:r w:rsidRPr="00166709">
        <w:rPr>
          <w:rFonts w:cs="Times New Roman"/>
          <w:color w:val="000000" w:themeColor="text1"/>
          <w:u w:color="000000" w:themeColor="text1"/>
        </w:rPr>
        <w:t>chartered credit union in compliance with 12 C.F.R. Part 37, or 12 C.F.R. Part 721, or any other federal law.</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(C)</w:t>
      </w:r>
      <w:r w:rsidRPr="00166709">
        <w:rPr>
          <w:rFonts w:cs="Times New Roman"/>
          <w:color w:val="000000" w:themeColor="text1"/>
          <w:u w:color="000000" w:themeColor="text1"/>
        </w:rPr>
        <w:tab/>
        <w:t xml:space="preserve">GAP waivers governed under this chapter are not insurance and are exempt from the provisions of Title 38, as are persons administering, marketing, selling, or offering to sell GAP waivers to borrowers.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(D)</w:t>
      </w:r>
      <w:r w:rsidRPr="00166709">
        <w:rPr>
          <w:rFonts w:cs="Times New Roman"/>
          <w:color w:val="000000" w:themeColor="text1"/>
          <w:u w:color="000000" w:themeColor="text1"/>
        </w:rPr>
        <w:tab/>
        <w:t xml:space="preserve">GAP waivers only may be offered in conjunction with a loan that is unrelated to the purchase of a motor vehicle if: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(1)</w:t>
      </w:r>
      <w:r w:rsidRPr="00166709">
        <w:rPr>
          <w:rFonts w:cs="Times New Roman"/>
          <w:color w:val="000000" w:themeColor="text1"/>
          <w:u w:color="000000" w:themeColor="text1"/>
        </w:rPr>
        <w:tab/>
        <w:t xml:space="preserve">the consumer loan has an original repayment term of more than twelve months; and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the principal loan amount is greater than four thousand dollars.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110.</w:t>
      </w:r>
      <w:r w:rsidRPr="00166709">
        <w:rPr>
          <w:rFonts w:cs="Times New Roman"/>
          <w:color w:val="000000" w:themeColor="text1"/>
          <w:u w:color="000000" w:themeColor="text1"/>
        </w:rPr>
        <w:tab/>
        <w:t xml:space="preserve">For purposes of this chapter: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(1)</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Borrower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 debtor, retail buyer, or lessee under a finance agreement.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(2)</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Creditor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 person, who in connection with the initial financing of the sale, or leasing, of a motor vehicle, is: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(a)</w:t>
      </w:r>
      <w:r w:rsidRPr="00166709">
        <w:rPr>
          <w:rFonts w:cs="Times New Roman"/>
          <w:color w:val="000000" w:themeColor="text1"/>
          <w:u w:color="000000" w:themeColor="text1"/>
        </w:rPr>
        <w:tab/>
        <w:t xml:space="preserve">a lender in a loan or credit transaction;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(b)</w:t>
      </w:r>
      <w:r w:rsidRPr="00166709">
        <w:rPr>
          <w:rFonts w:cs="Times New Roman"/>
          <w:color w:val="000000" w:themeColor="text1"/>
          <w:u w:color="000000" w:themeColor="text1"/>
        </w:rPr>
        <w:tab/>
        <w:t>a lessor in a lease transaction; or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(c)</w:t>
      </w:r>
      <w:r w:rsidRPr="00166709">
        <w:rPr>
          <w:rFonts w:cs="Times New Roman"/>
          <w:color w:val="000000" w:themeColor="text1"/>
          <w:u w:color="000000" w:themeColor="text1"/>
        </w:rPr>
        <w:tab/>
        <w:t>a dealer of motor vehicles that provides credit to a borrower, provided that the entity complies with the provisions of this chapter.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(3)</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Finance agreement</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 loan, lease, or retail installment sales contract for the purchase or lease of a motor vehicle.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(4)</w:t>
      </w:r>
      <w:r w:rsidRPr="00166709">
        <w:rPr>
          <w:rFonts w:cs="Times New Roman"/>
          <w:color w:val="000000" w:themeColor="text1"/>
          <w:u w:color="000000" w:themeColor="text1"/>
        </w:rPr>
        <w:tab/>
      </w:r>
      <w:r w:rsidRPr="00734308">
        <w:rPr>
          <w:rFonts w:cs="Times New Roman"/>
          <w:color w:val="000000" w:themeColor="text1"/>
          <w:u w:color="000000" w:themeColor="text1"/>
        </w:rPr>
        <w:t>‘</w:t>
      </w:r>
      <w:r>
        <w:rPr>
          <w:rFonts w:cs="Times New Roman"/>
          <w:color w:val="000000" w:themeColor="text1"/>
          <w:u w:color="000000" w:themeColor="text1"/>
        </w:rPr>
        <w:t>Free</w:t>
      </w:r>
      <w:r>
        <w:rPr>
          <w:rFonts w:cs="Times New Roman"/>
          <w:color w:val="000000" w:themeColor="text1"/>
          <w:u w:color="000000" w:themeColor="text1"/>
        </w:rPr>
        <w:noBreakHyphen/>
      </w:r>
      <w:r w:rsidRPr="00166709">
        <w:rPr>
          <w:rFonts w:cs="Times New Roman"/>
          <w:color w:val="000000" w:themeColor="text1"/>
          <w:u w:color="000000" w:themeColor="text1"/>
        </w:rPr>
        <w:t>look period</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the period of time from the effective date of the GAP waiver until the date the borrower may cancel the contract without penalty, fees, or costs to the borrower.  This period of time must be at least thirty days.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(5)</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Guaranteed asset protection waiver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or </w:t>
      </w:r>
      <w:r w:rsidRPr="00734308">
        <w:rPr>
          <w:rFonts w:cs="Times New Roman"/>
          <w:color w:val="000000" w:themeColor="text1"/>
          <w:u w:color="000000" w:themeColor="text1"/>
        </w:rPr>
        <w:t>‘</w:t>
      </w:r>
      <w:r w:rsidRPr="00166709">
        <w:rPr>
          <w:rFonts w:cs="Times New Roman"/>
          <w:color w:val="000000" w:themeColor="text1"/>
          <w:u w:color="000000" w:themeColor="text1"/>
        </w:rPr>
        <w:t>GAP waiver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 contractual agreement in which a creditor agrees for a separate charge to cancel or waive all or part of amounts due on a borrower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s finance agreement in the event of a total physical damage loss or unrecovered theft of the motor vehicle, which agreement must be part of, or a separate addendum to, the finance agreement.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(6)</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Insurer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an insurance company licensed, registered, or otherwise authorized to do business under Title 38.</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(7)</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Manager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 person, by any title, other than an insurer or creditor that performs administrative or operational functions with respect to GAP waivers.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(8)</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Motor vehicle</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self</w:t>
      </w:r>
      <w:r>
        <w:rPr>
          <w:rFonts w:cs="Times New Roman"/>
          <w:color w:val="000000" w:themeColor="text1"/>
          <w:u w:color="000000" w:themeColor="text1"/>
        </w:rPr>
        <w:noBreakHyphen/>
      </w:r>
      <w:r w:rsidRPr="00166709">
        <w:rPr>
          <w:rFonts w:cs="Times New Roman"/>
          <w:color w:val="000000" w:themeColor="text1"/>
          <w:u w:color="000000" w:themeColor="text1"/>
        </w:rPr>
        <w:t>propelled or towed vehicles designed for personal use including, but not limited to, automobiles, trucks, motorcycles, recreational vehicles, all</w:t>
      </w:r>
      <w:r>
        <w:rPr>
          <w:rFonts w:cs="Times New Roman"/>
          <w:color w:val="000000" w:themeColor="text1"/>
          <w:u w:color="000000" w:themeColor="text1"/>
        </w:rPr>
        <w:noBreakHyphen/>
      </w:r>
      <w:r w:rsidRPr="00166709">
        <w:rPr>
          <w:rFonts w:cs="Times New Roman"/>
          <w:color w:val="000000" w:themeColor="text1"/>
          <w:u w:color="000000" w:themeColor="text1"/>
        </w:rPr>
        <w:t>terrain vehicles, snowmobiles, campers, boats, personal watercraft, and trailers for motorcycles, boats, campers, and personal watercraft.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(9)</w:t>
      </w:r>
      <w:r w:rsidRPr="00166709">
        <w:rPr>
          <w:rFonts w:cs="Times New Roman"/>
          <w:color w:val="000000" w:themeColor="text1"/>
          <w:u w:color="000000" w:themeColor="text1"/>
        </w:rPr>
        <w:tab/>
      </w:r>
      <w:r w:rsidRPr="00734308">
        <w:rPr>
          <w:rFonts w:cs="Times New Roman"/>
          <w:color w:val="000000" w:themeColor="text1"/>
          <w:u w:color="000000" w:themeColor="text1"/>
        </w:rPr>
        <w:t>‘</w:t>
      </w:r>
      <w:r w:rsidRPr="00166709">
        <w:rPr>
          <w:rFonts w:cs="Times New Roman"/>
          <w:color w:val="000000" w:themeColor="text1"/>
          <w:u w:color="000000" w:themeColor="text1"/>
        </w:rPr>
        <w:t>Person</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 means an individual, company, association, organization, partnership, business trust, corporation, and every form of legal entity.</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120.</w:t>
      </w:r>
      <w:r w:rsidRPr="00166709">
        <w:rPr>
          <w:rFonts w:cs="Times New Roman"/>
          <w:color w:val="000000" w:themeColor="text1"/>
          <w:u w:color="000000" w:themeColor="text1"/>
        </w:rPr>
        <w:tab/>
        <w:t>(A)</w:t>
      </w:r>
      <w:r w:rsidRPr="00166709">
        <w:rPr>
          <w:rFonts w:cs="Times New Roman"/>
          <w:color w:val="000000" w:themeColor="text1"/>
          <w:u w:color="000000" w:themeColor="text1"/>
        </w:rPr>
        <w:tab/>
        <w:t xml:space="preserve">The offering and sale of GAP waivers in this State are subject to the provisions of this chapter.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(B)</w:t>
      </w:r>
      <w:r w:rsidRPr="00166709">
        <w:rPr>
          <w:rFonts w:cs="Times New Roman"/>
          <w:color w:val="000000" w:themeColor="text1"/>
          <w:u w:color="000000" w:themeColor="text1"/>
        </w:rPr>
        <w:tab/>
        <w:t>GAP waivers, at the option of the creditor, may be sold for a single payment or may be offered with a monthly or periodic payment option.</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(C)</w:t>
      </w:r>
      <w:r w:rsidRPr="00166709">
        <w:rPr>
          <w:rFonts w:cs="Times New Roman"/>
          <w:color w:val="000000" w:themeColor="text1"/>
          <w:u w:color="000000" w:themeColor="text1"/>
        </w:rPr>
        <w:tab/>
        <w:t>Notwithstanding another provision of law, any cost to the borrower for a GAP waiver subject to the Truth in Lending Act, 15 U.S.C. 1601, and its implementing regulations, as amended, or subject to Title 37, is a permissible additional charge pursuant to Sections 37</w:t>
      </w:r>
      <w:r>
        <w:rPr>
          <w:rFonts w:cs="Times New Roman"/>
          <w:color w:val="000000" w:themeColor="text1"/>
          <w:u w:color="000000" w:themeColor="text1"/>
        </w:rPr>
        <w:noBreakHyphen/>
      </w:r>
      <w:r w:rsidRPr="00166709">
        <w:rPr>
          <w:rFonts w:cs="Times New Roman"/>
          <w:color w:val="000000" w:themeColor="text1"/>
          <w:u w:color="000000" w:themeColor="text1"/>
        </w:rPr>
        <w:t>2</w:t>
      </w:r>
      <w:r>
        <w:rPr>
          <w:rFonts w:cs="Times New Roman"/>
          <w:color w:val="000000" w:themeColor="text1"/>
          <w:u w:color="000000" w:themeColor="text1"/>
        </w:rPr>
        <w:noBreakHyphen/>
      </w:r>
      <w:r w:rsidRPr="00166709">
        <w:rPr>
          <w:rFonts w:cs="Times New Roman"/>
          <w:color w:val="000000" w:themeColor="text1"/>
          <w:u w:color="000000" w:themeColor="text1"/>
        </w:rPr>
        <w:t>202 and 37</w:t>
      </w:r>
      <w:r>
        <w:rPr>
          <w:rFonts w:cs="Times New Roman"/>
          <w:color w:val="000000" w:themeColor="text1"/>
          <w:u w:color="000000" w:themeColor="text1"/>
        </w:rPr>
        <w:noBreakHyphen/>
      </w:r>
      <w:r w:rsidRPr="00166709">
        <w:rPr>
          <w:rFonts w:cs="Times New Roman"/>
          <w:color w:val="000000" w:themeColor="text1"/>
          <w:u w:color="000000" w:themeColor="text1"/>
        </w:rPr>
        <w:t>3</w:t>
      </w:r>
      <w:r>
        <w:rPr>
          <w:rFonts w:cs="Times New Roman"/>
          <w:color w:val="000000" w:themeColor="text1"/>
          <w:u w:color="000000" w:themeColor="text1"/>
        </w:rPr>
        <w:noBreakHyphen/>
      </w:r>
      <w:r w:rsidRPr="00166709">
        <w:rPr>
          <w:rFonts w:cs="Times New Roman"/>
          <w:color w:val="000000" w:themeColor="text1"/>
          <w:u w:color="000000" w:themeColor="text1"/>
        </w:rPr>
        <w:t xml:space="preserve">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(D)</w:t>
      </w:r>
      <w:r w:rsidRPr="00166709">
        <w:rPr>
          <w:rFonts w:cs="Times New Roman"/>
          <w:color w:val="000000" w:themeColor="text1"/>
          <w:u w:color="000000" w:themeColor="text1"/>
        </w:rPr>
        <w:tab/>
        <w:t>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(E)</w:t>
      </w:r>
      <w:r w:rsidRPr="00166709">
        <w:rPr>
          <w:rFonts w:cs="Times New Roman"/>
          <w:color w:val="000000" w:themeColor="text1"/>
          <w:u w:color="000000" w:themeColor="text1"/>
        </w:rPr>
        <w:tab/>
        <w:t>A GAP waiver must remain a part of the finance agreement upon its assignment, sale, or transfer by a creditor.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(F)</w:t>
      </w:r>
      <w:r w:rsidRPr="00166709">
        <w:rPr>
          <w:rFonts w:cs="Times New Roman"/>
          <w:color w:val="000000" w:themeColor="text1"/>
          <w:u w:color="000000" w:themeColor="text1"/>
        </w:rPr>
        <w:tab/>
        <w:t xml:space="preserve">Neither the extension of credit, the term of credit, nor the term of the related motor vehicle sale or lease may be conditioned upon the purchase of a GAP waiver.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(G)</w:t>
      </w:r>
      <w:r w:rsidRPr="00166709">
        <w:rPr>
          <w:rFonts w:cs="Times New Roman"/>
          <w:color w:val="000000" w:themeColor="text1"/>
          <w:u w:color="000000" w:themeColor="text1"/>
        </w:rPr>
        <w:tab/>
        <w:t xml:space="preserve">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(H)</w:t>
      </w:r>
      <w:r w:rsidRPr="00166709">
        <w:rPr>
          <w:rFonts w:cs="Times New Roman"/>
          <w:color w:val="000000" w:themeColor="text1"/>
          <w:u w:color="000000" w:themeColor="text1"/>
        </w:rPr>
        <w:tab/>
        <w:t>Funds received or held by a creditor or manager and belonging to an insurer, creditor, or manager pursuant to the terms of a written agreement must be held by the creditor or manager in a fiduciary capacity.</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(I)(1)</w:t>
      </w:r>
      <w:r w:rsidRPr="00166709">
        <w:rPr>
          <w:rFonts w:cs="Times New Roman"/>
          <w:color w:val="000000" w:themeColor="text1"/>
          <w:u w:color="000000" w:themeColor="text1"/>
        </w:rPr>
        <w:tab/>
        <w:t>A creditor may not sell a GAP waiver unless the creditor reasonably believes that the borrower will be eligible for a benefit under the GAP waiver in the event of a covered total loss.  In addition, a creditor may not sell a GAP waiver if:</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r>
      <w:r w:rsidRPr="00166709">
        <w:rPr>
          <w:rFonts w:cs="Times New Roman"/>
          <w:color w:val="000000" w:themeColor="text1"/>
          <w:u w:color="000000" w:themeColor="text1"/>
        </w:rPr>
        <w:tab/>
        <w:t>(a)</w:t>
      </w:r>
      <w:r w:rsidRPr="00166709">
        <w:rPr>
          <w:rFonts w:cs="Times New Roman"/>
          <w:color w:val="000000" w:themeColor="text1"/>
          <w:u w:color="000000" w:themeColor="text1"/>
        </w:rPr>
        <w:tab/>
        <w:t xml:space="preserve">the consumer, the credit terms including, but not limited to, cash price, automobile value, or amount financed, or the automobile used as collateral for the credit transaction do not qualify for or conflict with any restrictions or limitations of the GAP waiver conditions; or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r>
      <w:r w:rsidRPr="00166709">
        <w:rPr>
          <w:rFonts w:cs="Times New Roman"/>
          <w:color w:val="000000" w:themeColor="text1"/>
          <w:u w:color="000000" w:themeColor="text1"/>
        </w:rPr>
        <w:tab/>
        <w:t>(b)</w:t>
      </w:r>
      <w:r w:rsidRPr="00166709">
        <w:rPr>
          <w:rFonts w:cs="Times New Roman"/>
          <w:color w:val="000000" w:themeColor="text1"/>
          <w:u w:color="000000" w:themeColor="text1"/>
        </w:rPr>
        <w:tab/>
        <w:t>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A bona fide error resulting in a violation of this subsection will result in the GAP waiver being void and the borrower receiving a full refund of the purchase price of the waiver.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130.</w:t>
      </w:r>
      <w:r w:rsidRPr="00166709">
        <w:rPr>
          <w:rFonts w:cs="Times New Roman"/>
          <w:color w:val="000000" w:themeColor="text1"/>
          <w:u w:color="000000" w:themeColor="text1"/>
        </w:rPr>
        <w:tab/>
        <w:t>(A)</w:t>
      </w:r>
      <w:r w:rsidRPr="00166709">
        <w:rPr>
          <w:rFonts w:cs="Times New Roman"/>
          <w:color w:val="000000" w:themeColor="text1"/>
          <w:u w:color="000000" w:themeColor="text1"/>
        </w:rPr>
        <w:tab/>
        <w:t xml:space="preserve">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(B)</w:t>
      </w:r>
      <w:r w:rsidRPr="00166709">
        <w:rPr>
          <w:rFonts w:cs="Times New Roman"/>
          <w:color w:val="000000" w:themeColor="text1"/>
          <w:u w:color="000000" w:themeColor="text1"/>
        </w:rPr>
        <w:tab/>
        <w:t>Coverage under a contractual liability or other insurance policy insuring a GAP waiver also must cover any subsequent assignee upon the assignment, sale, or transfer of the finance agreement.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(C)</w:t>
      </w:r>
      <w:r w:rsidRPr="00166709">
        <w:rPr>
          <w:rFonts w:cs="Times New Roman"/>
          <w:color w:val="000000" w:themeColor="text1"/>
          <w:u w:color="000000" w:themeColor="text1"/>
        </w:rPr>
        <w:tab/>
        <w:t xml:space="preserve">Coverage under a contractual liability or other insurance policy insuring a GAP waiver must remain in effect unless canceled or terminated in compliance with applicable insurance laws of this State.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(D)</w:t>
      </w:r>
      <w:r w:rsidRPr="00166709">
        <w:rPr>
          <w:rFonts w:cs="Times New Roman"/>
          <w:color w:val="000000" w:themeColor="text1"/>
          <w:u w:color="000000" w:themeColor="text1"/>
        </w:rPr>
        <w:tab/>
        <w:t>The cancellation or termination of a contractual liability or other insurance policy must not reduce the insurer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s responsibility for GAP waivers issued by the creditor prior to the date of cancellation or termination and for which premium has been received by the insurer.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140.</w:t>
      </w:r>
      <w:r w:rsidRPr="00166709">
        <w:rPr>
          <w:rFonts w:cs="Times New Roman"/>
          <w:color w:val="000000" w:themeColor="text1"/>
          <w:u w:color="000000" w:themeColor="text1"/>
        </w:rPr>
        <w:tab/>
        <w:t>(A)</w:t>
      </w:r>
      <w:r w:rsidRPr="00166709">
        <w:rPr>
          <w:rFonts w:cs="Times New Roman"/>
          <w:color w:val="000000" w:themeColor="text1"/>
          <w:u w:color="000000" w:themeColor="text1"/>
        </w:rPr>
        <w:tab/>
        <w:t xml:space="preserve">A GAP waiver must include the following terms in clear, easily understandable language: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(1)</w:t>
      </w:r>
      <w:r w:rsidRPr="00166709">
        <w:rPr>
          <w:rFonts w:cs="Times New Roman"/>
          <w:color w:val="000000" w:themeColor="text1"/>
          <w:u w:color="000000" w:themeColor="text1"/>
        </w:rPr>
        <w:tab/>
        <w:t xml:space="preserve">the name and address of the initial creditor and the borrower at the time of sale and the identity of any manager if different from the creditor;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 xml:space="preserve">the purchase price and the terms of the GAP waiver including, without limitation, the requirements for protection, conditions, or exclusions associated with the GAP waiver;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the length of the free</w:t>
      </w:r>
      <w:r>
        <w:rPr>
          <w:rFonts w:cs="Times New Roman"/>
          <w:color w:val="000000" w:themeColor="text1"/>
          <w:u w:color="000000" w:themeColor="text1"/>
        </w:rPr>
        <w:noBreakHyphen/>
        <w:t>l</w:t>
      </w:r>
      <w:r w:rsidRPr="00166709">
        <w:rPr>
          <w:rFonts w:cs="Times New Roman"/>
          <w:color w:val="000000" w:themeColor="text1"/>
          <w:u w:color="000000" w:themeColor="text1"/>
        </w:rPr>
        <w:t>ook period and the procedure by which a borrower may exercise the borrower</w:t>
      </w:r>
      <w:r w:rsidRPr="00734308">
        <w:rPr>
          <w:rFonts w:cs="Times New Roman"/>
          <w:color w:val="000000" w:themeColor="text1"/>
          <w:u w:color="000000" w:themeColor="text1"/>
        </w:rPr>
        <w:t>’</w:t>
      </w:r>
      <w:r w:rsidRPr="00166709">
        <w:rPr>
          <w:rFonts w:cs="Times New Roman"/>
          <w:color w:val="000000" w:themeColor="text1"/>
          <w:u w:color="000000" w:themeColor="text1"/>
        </w:rPr>
        <w:t xml:space="preserve">s rights during that period;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(4)</w:t>
      </w:r>
      <w:r w:rsidRPr="00166709">
        <w:rPr>
          <w:rFonts w:cs="Times New Roman"/>
          <w:color w:val="000000" w:themeColor="text1"/>
          <w:u w:color="000000" w:themeColor="text1"/>
        </w:rPr>
        <w:tab/>
        <w:t>the terms required by 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 xml:space="preserve">150;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(5)</w:t>
      </w:r>
      <w:r w:rsidRPr="00166709">
        <w:rPr>
          <w:rFonts w:cs="Times New Roman"/>
          <w:color w:val="000000" w:themeColor="text1"/>
          <w:u w:color="000000" w:themeColor="text1"/>
        </w:rPr>
        <w:tab/>
        <w:t>the procedure the borrower must follow, if any, to obtain GAP waiver benefits under the terms and conditions of the waiver, including a telephone number and address where the borrower may apply for waiver benefits;</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(6)</w:t>
      </w:r>
      <w:r w:rsidRPr="00166709">
        <w:rPr>
          <w:rFonts w:cs="Times New Roman"/>
          <w:color w:val="000000" w:themeColor="text1"/>
          <w:u w:color="000000" w:themeColor="text1"/>
        </w:rPr>
        <w:tab/>
        <w:t xml:space="preserve">the methodology for calculating any refund of the unearned purchase price of the GAP waiver due in the event of cancellation of the GAP waiver or early termination of the finance agreement;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(7)</w:t>
      </w:r>
      <w:r w:rsidRPr="00166709">
        <w:rPr>
          <w:rFonts w:cs="Times New Roman"/>
          <w:color w:val="000000" w:themeColor="text1"/>
          <w:u w:color="000000" w:themeColor="text1"/>
        </w:rPr>
        <w:tab/>
        <w:t>a statement that the purchase of the GAP waiver is optional and the statement must be in all caps, underlined, or disclosed in another prominent manner and must be substanti</w:t>
      </w:r>
      <w:r>
        <w:rPr>
          <w:rFonts w:cs="Times New Roman"/>
          <w:color w:val="000000" w:themeColor="text1"/>
          <w:u w:color="000000" w:themeColor="text1"/>
        </w:rPr>
        <w:t xml:space="preserve">ally similar to the following: </w:t>
      </w:r>
      <w:r w:rsidRPr="00734308">
        <w:rPr>
          <w:rFonts w:cs="Times New Roman"/>
          <w:color w:val="000000" w:themeColor="text1"/>
          <w:u w:color="000000" w:themeColor="text1"/>
        </w:rPr>
        <w:t>‘</w:t>
      </w:r>
      <w:r w:rsidRPr="00166709">
        <w:rPr>
          <w:rFonts w:cs="Times New Roman"/>
          <w:color w:val="000000" w:themeColor="text1"/>
          <w:u w:color="000000" w:themeColor="text1"/>
        </w:rPr>
        <w:t>THIS GAP WAIVER IS NOT REQUIRED TO OBTAIN CREDIT, NOR TO OBTAIN CERTAIN TERMS OF CREDIT OR TO PURCHASE THE RELATED MOTOR VEHICLE.  THIS GAP WAIVER WILL NOT BE PROVIDED UNLESS YOU SIGN AND A</w:t>
      </w:r>
      <w:r>
        <w:rPr>
          <w:rFonts w:cs="Times New Roman"/>
          <w:color w:val="000000" w:themeColor="text1"/>
          <w:u w:color="000000" w:themeColor="text1"/>
        </w:rPr>
        <w:t>GREE TO PAY THE ADDITIONAL COST</w:t>
      </w:r>
      <w:r w:rsidRPr="00734308">
        <w:rPr>
          <w:rFonts w:cs="Times New Roman"/>
          <w:color w:val="000000" w:themeColor="text1"/>
          <w:u w:color="000000" w:themeColor="text1"/>
        </w:rPr>
        <w:t>’</w:t>
      </w:r>
      <w:r w:rsidRPr="00166709">
        <w:rPr>
          <w:rFonts w:cs="Times New Roman"/>
          <w:color w:val="000000" w:themeColor="text1"/>
          <w:u w:color="000000" w:themeColor="text1"/>
        </w:rPr>
        <w:t>; and</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(8)</w:t>
      </w:r>
      <w:r w:rsidRPr="00166709">
        <w:rPr>
          <w:rFonts w:cs="Times New Roman"/>
          <w:color w:val="000000" w:themeColor="text1"/>
          <w:u w:color="000000" w:themeColor="text1"/>
        </w:rPr>
        <w:tab/>
        <w:t>a statement that the GAP waiver is not insurance and does not take the place of collision, comprehensive, or any other form of insurance on the motor vehicle.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(B)</w:t>
      </w:r>
      <w:r w:rsidRPr="00166709">
        <w:rPr>
          <w:rFonts w:cs="Times New Roman"/>
          <w:color w:val="000000" w:themeColor="text1"/>
          <w:u w:color="000000" w:themeColor="text1"/>
        </w:rPr>
        <w:tab/>
        <w:t xml:space="preserve">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  </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150.</w:t>
      </w:r>
      <w:r w:rsidRPr="00166709">
        <w:rPr>
          <w:rFonts w:cs="Times New Roman"/>
          <w:color w:val="000000" w:themeColor="text1"/>
          <w:u w:color="000000" w:themeColor="text1"/>
        </w:rPr>
        <w:tab/>
        <w:t>(A)(1)</w:t>
      </w:r>
      <w:r w:rsidRPr="00166709">
        <w:rPr>
          <w:rFonts w:cs="Times New Roman"/>
          <w:color w:val="000000" w:themeColor="text1"/>
          <w:u w:color="000000" w:themeColor="text1"/>
        </w:rPr>
        <w:tab/>
        <w:t xml:space="preserve">A GAP waiver must include a term stating that if a borrower cancels the waiver within </w:t>
      </w:r>
      <w:r>
        <w:rPr>
          <w:rFonts w:cs="Times New Roman"/>
          <w:color w:val="000000" w:themeColor="text1"/>
          <w:u w:color="000000" w:themeColor="text1"/>
        </w:rPr>
        <w:t>the free</w:t>
      </w:r>
      <w:r>
        <w:rPr>
          <w:rFonts w:cs="Times New Roman"/>
          <w:color w:val="000000" w:themeColor="text1"/>
          <w:u w:color="000000" w:themeColor="text1"/>
        </w:rPr>
        <w:noBreakHyphen/>
      </w:r>
      <w:r w:rsidRPr="00166709">
        <w:rPr>
          <w:rFonts w:cs="Times New Roman"/>
          <w:color w:val="000000" w:themeColor="text1"/>
          <w:u w:color="000000" w:themeColor="text1"/>
        </w:rPr>
        <w:t>look period, the borrower is entitled to a full refund if no benefits have been provided under the GAP waiver.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A creditor may not charge a fee to a borrower related to the cancellation of a GAP waiver.</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(B)</w:t>
      </w:r>
      <w:r w:rsidRPr="00166709">
        <w:rPr>
          <w:rFonts w:cs="Times New Roman"/>
          <w:color w:val="000000" w:themeColor="text1"/>
          <w:u w:color="000000" w:themeColor="text1"/>
        </w:rPr>
        <w:tab/>
        <w:t>A GAP waiver may be either cancellable o</w:t>
      </w:r>
      <w:r>
        <w:rPr>
          <w:rFonts w:cs="Times New Roman"/>
          <w:color w:val="000000" w:themeColor="text1"/>
          <w:u w:color="000000" w:themeColor="text1"/>
        </w:rPr>
        <w:t>r noncancellable after the free</w:t>
      </w:r>
      <w:r>
        <w:rPr>
          <w:rFonts w:cs="Times New Roman"/>
          <w:color w:val="000000" w:themeColor="text1"/>
          <w:u w:color="000000" w:themeColor="text1"/>
        </w:rPr>
        <w:noBreakHyphen/>
      </w:r>
      <w:r w:rsidRPr="00166709">
        <w:rPr>
          <w:rFonts w:cs="Times New Roman"/>
          <w:color w:val="000000" w:themeColor="text1"/>
          <w:u w:color="000000" w:themeColor="text1"/>
        </w:rPr>
        <w:t>look period.  A GAP waiver must include: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(1)</w:t>
      </w:r>
      <w:r w:rsidRPr="00166709">
        <w:rPr>
          <w:rFonts w:cs="Times New Roman"/>
          <w:color w:val="000000" w:themeColor="text1"/>
          <w:u w:color="000000" w:themeColor="text1"/>
        </w:rPr>
        <w:tab/>
        <w:t>a statement of whether or not the GAP waiver is cancellable or noncancellable a</w:t>
      </w:r>
      <w:r>
        <w:rPr>
          <w:rFonts w:cs="Times New Roman"/>
          <w:color w:val="000000" w:themeColor="text1"/>
          <w:u w:color="000000" w:themeColor="text1"/>
        </w:rPr>
        <w:t>fter the expiration of the free</w:t>
      </w:r>
      <w:r>
        <w:rPr>
          <w:rFonts w:cs="Times New Roman"/>
          <w:color w:val="000000" w:themeColor="text1"/>
          <w:u w:color="000000" w:themeColor="text1"/>
        </w:rPr>
        <w:noBreakHyphen/>
      </w:r>
      <w:r w:rsidRPr="00166709">
        <w:rPr>
          <w:rFonts w:cs="Times New Roman"/>
          <w:color w:val="000000" w:themeColor="text1"/>
          <w:u w:color="000000" w:themeColor="text1"/>
        </w:rPr>
        <w:t>look period</w:t>
      </w:r>
      <w:r>
        <w:rPr>
          <w:rFonts w:cs="Times New Roman"/>
          <w:color w:val="000000" w:themeColor="text1"/>
          <w:u w:color="000000" w:themeColor="text1"/>
        </w:rPr>
        <w:t>; and</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t>(2)</w:t>
      </w:r>
      <w:r w:rsidRPr="00166709">
        <w:rPr>
          <w:rFonts w:cs="Times New Roman"/>
          <w:color w:val="000000" w:themeColor="text1"/>
          <w:u w:color="000000" w:themeColor="text1"/>
        </w:rPr>
        <w:tab/>
        <w:t>if the waiver is cancellable, all of the following terms apply:</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r>
      <w:r w:rsidRPr="00166709">
        <w:rPr>
          <w:rFonts w:cs="Times New Roman"/>
          <w:color w:val="000000" w:themeColor="text1"/>
          <w:u w:color="000000" w:themeColor="text1"/>
        </w:rPr>
        <w:tab/>
        <w:t>(a)</w:t>
      </w:r>
      <w:r w:rsidRPr="00166709">
        <w:rPr>
          <w:rFonts w:cs="Times New Roman"/>
          <w:color w:val="000000" w:themeColor="text1"/>
          <w:u w:color="000000" w:themeColor="text1"/>
        </w:rPr>
        <w:tab/>
        <w:t>a statement that in the event of a borrower</w:t>
      </w:r>
      <w:r w:rsidRPr="00734308">
        <w:rPr>
          <w:rFonts w:cs="Times New Roman"/>
          <w:color w:val="000000" w:themeColor="text1"/>
          <w:u w:color="000000" w:themeColor="text1"/>
        </w:rPr>
        <w:t>’</w:t>
      </w:r>
      <w:r w:rsidRPr="00166709">
        <w:rPr>
          <w:rFonts w:cs="Times New Roman"/>
          <w:color w:val="000000" w:themeColor="text1"/>
          <w:u w:color="000000" w:themeColor="text1"/>
        </w:rPr>
        <w:t>s cancellation of the GAP waiver or early termination of the finance agreement, the borrower may be entitled to a refund of any unearned portion of the purchase price of the waiver; and</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r>
      <w:r w:rsidRPr="00166709">
        <w:rPr>
          <w:rFonts w:cs="Times New Roman"/>
          <w:color w:val="000000" w:themeColor="text1"/>
          <w:u w:color="000000" w:themeColor="text1"/>
        </w:rPr>
        <w:tab/>
      </w:r>
      <w:r w:rsidRPr="00166709">
        <w:rPr>
          <w:rFonts w:cs="Times New Roman"/>
          <w:color w:val="000000" w:themeColor="text1"/>
          <w:u w:color="000000" w:themeColor="text1"/>
        </w:rPr>
        <w:tab/>
        <w:t>(b)</w:t>
      </w:r>
      <w:r w:rsidRPr="00166709">
        <w:rPr>
          <w:rFonts w:cs="Times New Roman"/>
          <w:color w:val="000000" w:themeColor="text1"/>
          <w:u w:color="000000" w:themeColor="text1"/>
        </w:rPr>
        <w:tab/>
        <w:t>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(C)</w:t>
      </w:r>
      <w:r w:rsidRPr="00166709">
        <w:rPr>
          <w:rFonts w:cs="Times New Roman"/>
          <w:color w:val="000000" w:themeColor="text1"/>
          <w:u w:color="000000" w:themeColor="text1"/>
        </w:rPr>
        <w:tab/>
        <w:t>A cancellation refund under subsections (A) and (B) may be applied by the creditor as a reduction of the amount owed under the finance agreement unless the borrower shows that the finance agreement has been paid in full.</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(D)</w:t>
      </w:r>
      <w:r w:rsidRPr="00166709">
        <w:rPr>
          <w:rFonts w:cs="Times New Roman"/>
          <w:color w:val="000000" w:themeColor="text1"/>
          <w:u w:color="000000" w:themeColor="text1"/>
        </w:rPr>
        <w:tab/>
        <w:t>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w:t>
      </w:r>
      <w:r w:rsidRPr="00734308">
        <w:rPr>
          <w:rFonts w:cs="Times New Roman"/>
          <w:color w:val="000000" w:themeColor="text1"/>
          <w:u w:color="000000" w:themeColor="text1"/>
        </w:rPr>
        <w:t>’</w:t>
      </w:r>
      <w:r w:rsidRPr="00166709">
        <w:rPr>
          <w:rFonts w:cs="Times New Roman"/>
          <w:color w:val="000000" w:themeColor="text1"/>
          <w:u w:color="000000" w:themeColor="text1"/>
        </w:rPr>
        <w:t>s finance agreement.</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ab/>
        <w:t>Section 37</w:t>
      </w:r>
      <w:r>
        <w:rPr>
          <w:rFonts w:cs="Times New Roman"/>
          <w:color w:val="000000" w:themeColor="text1"/>
          <w:u w:color="000000" w:themeColor="text1"/>
        </w:rPr>
        <w:noBreakHyphen/>
      </w:r>
      <w:r w:rsidRPr="00166709">
        <w:rPr>
          <w:rFonts w:cs="Times New Roman"/>
          <w:color w:val="000000" w:themeColor="text1"/>
          <w:u w:color="000000" w:themeColor="text1"/>
        </w:rPr>
        <w:t>30</w:t>
      </w:r>
      <w:r>
        <w:rPr>
          <w:rFonts w:cs="Times New Roman"/>
          <w:color w:val="000000" w:themeColor="text1"/>
          <w:u w:color="000000" w:themeColor="text1"/>
        </w:rPr>
        <w:noBreakHyphen/>
      </w:r>
      <w:r w:rsidRPr="00166709">
        <w:rPr>
          <w:rFonts w:cs="Times New Roman"/>
          <w:color w:val="000000" w:themeColor="text1"/>
          <w:u w:color="000000" w:themeColor="text1"/>
        </w:rPr>
        <w:t>160.</w:t>
      </w:r>
      <w:r w:rsidRPr="00166709">
        <w:rPr>
          <w:rFonts w:cs="Times New Roman"/>
          <w:color w:val="000000" w:themeColor="text1"/>
          <w:u w:color="000000" w:themeColor="text1"/>
        </w:rPr>
        <w:tab/>
        <w:t>Pursuant to Chapter 6, Title 37, the Administrator of the Department of Consumer Affairs may take action necessary to enforce the provisions of this chapter and to protect GA</w:t>
      </w:r>
      <w:r>
        <w:rPr>
          <w:rFonts w:cs="Times New Roman"/>
          <w:color w:val="000000" w:themeColor="text1"/>
          <w:u w:color="000000" w:themeColor="text1"/>
        </w:rPr>
        <w:t>P waiver holders in this State.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snapToGrid w:val="0"/>
        </w:rPr>
        <w:tab/>
        <w:t>Section 37</w:t>
      </w:r>
      <w:r>
        <w:rPr>
          <w:rFonts w:cs="Times New Roman"/>
          <w:snapToGrid w:val="0"/>
        </w:rPr>
        <w:noBreakHyphen/>
      </w:r>
      <w:r w:rsidRPr="00166709">
        <w:rPr>
          <w:rFonts w:cs="Times New Roman"/>
          <w:snapToGrid w:val="0"/>
        </w:rPr>
        <w:t>30</w:t>
      </w:r>
      <w:r>
        <w:rPr>
          <w:rFonts w:cs="Times New Roman"/>
          <w:snapToGrid w:val="0"/>
        </w:rPr>
        <w:noBreakHyphen/>
      </w:r>
      <w:r w:rsidRPr="00166709">
        <w:rPr>
          <w:rFonts w:cs="Times New Roman"/>
          <w:snapToGrid w:val="0"/>
        </w:rPr>
        <w:t>175.</w:t>
      </w:r>
      <w:r w:rsidRPr="00166709">
        <w:rPr>
          <w:rFonts w:cs="Times New Roman"/>
          <w:snapToGrid w:val="0"/>
        </w:rPr>
        <w:tab/>
        <w:t>A consumer who suffers loss by reason of a violation of this chapter may bring a civil action to enforce the provisions, and if successful in the action, shall recover actual damages, reasonable attorney</w:t>
      </w:r>
      <w:r w:rsidRPr="00734308">
        <w:rPr>
          <w:rFonts w:cs="Times New Roman"/>
          <w:snapToGrid w:val="0"/>
        </w:rPr>
        <w:t>’</w:t>
      </w:r>
      <w:r w:rsidRPr="00166709">
        <w:rPr>
          <w:rFonts w:cs="Times New Roman"/>
          <w:snapToGrid w:val="0"/>
        </w:rPr>
        <w:t>s fees, and court costs incurred by bringing the action.</w:t>
      </w:r>
      <w:r>
        <w:rPr>
          <w:rFonts w:cs="Times New Roman"/>
          <w:snapToGrid w:val="0"/>
        </w:rPr>
        <w:t>”</w:t>
      </w:r>
    </w:p>
    <w:p w:rsidR="00345613"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EF7290"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709">
        <w:rPr>
          <w:rFonts w:cs="Times New Roman"/>
          <w:color w:val="000000" w:themeColor="text1"/>
          <w:u w:color="000000" w:themeColor="text1"/>
        </w:rPr>
        <w:t>SECTION</w:t>
      </w:r>
      <w:r w:rsidRPr="00166709">
        <w:rPr>
          <w:rFonts w:cs="Times New Roman"/>
          <w:color w:val="000000" w:themeColor="text1"/>
          <w:u w:color="000000" w:themeColor="text1"/>
        </w:rPr>
        <w:tab/>
        <w:t>3.</w:t>
      </w:r>
      <w:r w:rsidRPr="00166709">
        <w:rPr>
          <w:rFonts w:cs="Times New Roman"/>
          <w:color w:val="000000" w:themeColor="text1"/>
          <w:u w:color="000000" w:themeColor="text1"/>
        </w:rPr>
        <w:tab/>
        <w:t>This act takes effect upon approval by the Governor and applies to all GAP waivers which become effective one hundred eighty days after the effective date.</w:t>
      </w:r>
    </w:p>
    <w:p w:rsidR="00345613" w:rsidRPr="00166709"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613" w:rsidRDefault="00345613"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345613" w:rsidRDefault="00345613" w:rsidP="00345613">
      <w:pPr>
        <w:jc w:val="both"/>
        <w:rPr>
          <w:color w:val="000000" w:themeColor="text1"/>
        </w:rPr>
      </w:pPr>
    </w:p>
    <w:p w:rsidR="00345613" w:rsidRDefault="00345613" w:rsidP="00345613">
      <w:pPr>
        <w:jc w:val="both"/>
        <w:rPr>
          <w:color w:val="000000" w:themeColor="text1"/>
        </w:rPr>
      </w:pPr>
      <w:r>
        <w:rPr>
          <w:color w:val="000000" w:themeColor="text1"/>
        </w:rPr>
        <w:t>Approved the 1</w:t>
      </w:r>
      <w:r w:rsidRPr="00713F7D">
        <w:rPr>
          <w:color w:val="000000" w:themeColor="text1"/>
          <w:vertAlign w:val="superscript"/>
        </w:rPr>
        <w:t>st</w:t>
      </w:r>
      <w:r>
        <w:rPr>
          <w:color w:val="000000" w:themeColor="text1"/>
        </w:rPr>
        <w:t xml:space="preserve"> day of June, 2015. </w:t>
      </w:r>
    </w:p>
    <w:p w:rsidR="00345613" w:rsidRDefault="00345613" w:rsidP="00345613">
      <w:pPr>
        <w:jc w:val="center"/>
        <w:rPr>
          <w:color w:val="000000" w:themeColor="text1"/>
        </w:rPr>
      </w:pPr>
    </w:p>
    <w:p w:rsidR="00345613" w:rsidRDefault="00345613" w:rsidP="00345613">
      <w:pPr>
        <w:jc w:val="center"/>
        <w:rPr>
          <w:color w:val="000000" w:themeColor="text1"/>
        </w:rPr>
      </w:pPr>
      <w:r>
        <w:rPr>
          <w:color w:val="000000" w:themeColor="text1"/>
        </w:rPr>
        <w:t>__________</w:t>
      </w:r>
    </w:p>
    <w:p w:rsidR="004626AE" w:rsidRPr="00C9021D" w:rsidRDefault="004626AE" w:rsidP="00345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26AE" w:rsidRPr="00C9021D" w:rsidSect="004626AE">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2AF" w:rsidRDefault="006F02AF" w:rsidP="007D5FAC">
      <w:r>
        <w:separator/>
      </w:r>
    </w:p>
  </w:endnote>
  <w:endnote w:type="continuationSeparator" w:id="0">
    <w:p w:rsidR="006F02AF" w:rsidRDefault="006F02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E" w:rsidRPr="004626AE" w:rsidRDefault="004626AE" w:rsidP="004626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4561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AE" w:rsidRDefault="00462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2AF" w:rsidRDefault="006F02AF" w:rsidP="007D5FAC">
      <w:r>
        <w:separator/>
      </w:r>
    </w:p>
  </w:footnote>
  <w:footnote w:type="continuationSeparator" w:id="0">
    <w:p w:rsidR="006F02AF" w:rsidRDefault="006F02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41"/>
    <w:docVar w:name="ActSecretary" w:val="Melton"/>
    <w:docVar w:name="ActSIdno" w:val="(23)  441SA15"/>
    <w:docVar w:name="clipname" w:val="441SA15"/>
    <w:docVar w:name="dvBillNumber" w:val="441"/>
    <w:docVar w:name="dvBillNumberPrefix" w:val="S"/>
    <w:docVar w:name="dvOriginalBody" w:val="Senate"/>
    <w:docVar w:name="OrigSENATEBillNo" w:val="441"/>
    <w:docVar w:name="SENATEACTFULLPATH" w:val="L:\COUNCIL\ACTS\441SA15.DOCX"/>
    <w:docVar w:name="WhatActtype" w:val="AN ACT"/>
  </w:docVars>
  <w:rsids>
    <w:rsidRoot w:val="006F02A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6F16"/>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25A"/>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15EC"/>
    <w:rsid w:val="00223E0F"/>
    <w:rsid w:val="00225489"/>
    <w:rsid w:val="00231146"/>
    <w:rsid w:val="00231E65"/>
    <w:rsid w:val="002321B6"/>
    <w:rsid w:val="002327B8"/>
    <w:rsid w:val="00234401"/>
    <w:rsid w:val="00234E70"/>
    <w:rsid w:val="002367D4"/>
    <w:rsid w:val="0023760C"/>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0D5F"/>
    <w:rsid w:val="003348FE"/>
    <w:rsid w:val="00334EAC"/>
    <w:rsid w:val="0034356D"/>
    <w:rsid w:val="0034561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6AE"/>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219"/>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840"/>
    <w:rsid w:val="0063724D"/>
    <w:rsid w:val="0064018A"/>
    <w:rsid w:val="00641A70"/>
    <w:rsid w:val="00643998"/>
    <w:rsid w:val="006462FA"/>
    <w:rsid w:val="00655550"/>
    <w:rsid w:val="00657AB1"/>
    <w:rsid w:val="00663AC3"/>
    <w:rsid w:val="00672966"/>
    <w:rsid w:val="006750A0"/>
    <w:rsid w:val="00683B36"/>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02AF"/>
    <w:rsid w:val="006F22C0"/>
    <w:rsid w:val="006F290C"/>
    <w:rsid w:val="007009F2"/>
    <w:rsid w:val="00704FF9"/>
    <w:rsid w:val="007052EC"/>
    <w:rsid w:val="00707063"/>
    <w:rsid w:val="007127A6"/>
    <w:rsid w:val="00731C9E"/>
    <w:rsid w:val="00734308"/>
    <w:rsid w:val="00734C77"/>
    <w:rsid w:val="00737039"/>
    <w:rsid w:val="007373C7"/>
    <w:rsid w:val="007469F9"/>
    <w:rsid w:val="0074783A"/>
    <w:rsid w:val="007514EF"/>
    <w:rsid w:val="00764BFB"/>
    <w:rsid w:val="00765D0A"/>
    <w:rsid w:val="007664A2"/>
    <w:rsid w:val="007746C2"/>
    <w:rsid w:val="00775216"/>
    <w:rsid w:val="00775B87"/>
    <w:rsid w:val="00784A23"/>
    <w:rsid w:val="0079169B"/>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430"/>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4F0"/>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1EBC"/>
    <w:rsid w:val="00BD6F4F"/>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021D"/>
    <w:rsid w:val="00C92B7D"/>
    <w:rsid w:val="00C92E2B"/>
    <w:rsid w:val="00C94E59"/>
    <w:rsid w:val="00C97704"/>
    <w:rsid w:val="00C97CB8"/>
    <w:rsid w:val="00CA23B8"/>
    <w:rsid w:val="00CA4CD7"/>
    <w:rsid w:val="00CB12FE"/>
    <w:rsid w:val="00CC2825"/>
    <w:rsid w:val="00CC291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1C59"/>
    <w:rsid w:val="00D56467"/>
    <w:rsid w:val="00D63C04"/>
    <w:rsid w:val="00D76225"/>
    <w:rsid w:val="00D7706E"/>
    <w:rsid w:val="00D80303"/>
    <w:rsid w:val="00D8576C"/>
    <w:rsid w:val="00D9130B"/>
    <w:rsid w:val="00D92268"/>
    <w:rsid w:val="00D94602"/>
    <w:rsid w:val="00D95486"/>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5346"/>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1E54"/>
    <w:rsid w:val="00E9303D"/>
    <w:rsid w:val="00EA2A3A"/>
    <w:rsid w:val="00EA77B0"/>
    <w:rsid w:val="00EB223A"/>
    <w:rsid w:val="00EC47CE"/>
    <w:rsid w:val="00ED4871"/>
    <w:rsid w:val="00EE42B4"/>
    <w:rsid w:val="00EE663F"/>
    <w:rsid w:val="00EF0E4A"/>
    <w:rsid w:val="00EF3301"/>
    <w:rsid w:val="00EF6923"/>
    <w:rsid w:val="00EF7290"/>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30CE"/>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004E96B-2C85-49F7-8B44-F5AB9238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26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34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308"/>
    <w:rPr>
      <w:rFonts w:ascii="Segoe UI" w:hAnsi="Segoe UI" w:cs="Segoe UI"/>
      <w:sz w:val="18"/>
      <w:szCs w:val="18"/>
    </w:rPr>
  </w:style>
  <w:style w:type="table" w:styleId="TableGrid">
    <w:name w:val="Table Grid"/>
    <w:basedOn w:val="TableNormal"/>
    <w:uiPriority w:val="59"/>
    <w:rsid w:val="00D954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26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68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5-15.docx" TargetMode="External"/><Relationship Id="rId13" Type="http://schemas.openxmlformats.org/officeDocument/2006/relationships/hyperlink" Target="file:///h:\SJ%20Archive\2015\04-21-15.docx" TargetMode="External"/><Relationship Id="rId18" Type="http://schemas.openxmlformats.org/officeDocument/2006/relationships/hyperlink" Target="file:///h:\HJ%20Archive\2015\05-20-15.docx" TargetMode="External"/><Relationship Id="rId26" Type="http://schemas.openxmlformats.org/officeDocument/2006/relationships/hyperlink" Target="file:///p:\pprever\2015-16\441_20150417.docx" TargetMode="External"/><Relationship Id="rId3" Type="http://schemas.openxmlformats.org/officeDocument/2006/relationships/webSettings" Target="webSettings.xml"/><Relationship Id="rId21" Type="http://schemas.openxmlformats.org/officeDocument/2006/relationships/hyperlink" Target="file:///p:\pprever\2015-16\441_20150211.docx" TargetMode="External"/><Relationship Id="rId7" Type="http://schemas.openxmlformats.org/officeDocument/2006/relationships/hyperlink" Target="file:///h:\SJ%20Archive\2015\02-11-15.docx" TargetMode="External"/><Relationship Id="rId12" Type="http://schemas.openxmlformats.org/officeDocument/2006/relationships/hyperlink" Target="file:///h:\SJ%20Archive\2015\04-16-15.docx" TargetMode="External"/><Relationship Id="rId17" Type="http://schemas.openxmlformats.org/officeDocument/2006/relationships/hyperlink" Target="file:///h:\HJ%20Archive\2015\05-20-15.docx" TargetMode="External"/><Relationship Id="rId25" Type="http://schemas.openxmlformats.org/officeDocument/2006/relationships/hyperlink" Target="file:///p:\pprever\2015-16\441_20150416.docx" TargetMode="External"/><Relationship Id="rId2" Type="http://schemas.openxmlformats.org/officeDocument/2006/relationships/settings" Target="settings.xml"/><Relationship Id="rId16" Type="http://schemas.openxmlformats.org/officeDocument/2006/relationships/hyperlink" Target="file:///h:\HJ%20Archive\2015\05-14-15.docx" TargetMode="External"/><Relationship Id="rId20" Type="http://schemas.openxmlformats.org/officeDocument/2006/relationships/hyperlink" Target="http://www.scstatehouse.gov/billsearch.php?billnumbers=441&amp;session=121&amp;summary=B"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5\02-11-15.docx" TargetMode="External"/><Relationship Id="rId11" Type="http://schemas.openxmlformats.org/officeDocument/2006/relationships/hyperlink" Target="file:///h:\SJ%20Archive\2015\04-16-15.docx" TargetMode="External"/><Relationship Id="rId24" Type="http://schemas.openxmlformats.org/officeDocument/2006/relationships/hyperlink" Target="file:///p:\pprever\2015-16\441_20150415.docx" TargetMode="External"/><Relationship Id="rId5" Type="http://schemas.openxmlformats.org/officeDocument/2006/relationships/endnotes" Target="endnotes.xml"/><Relationship Id="rId15" Type="http://schemas.openxmlformats.org/officeDocument/2006/relationships/hyperlink" Target="file:///h:\HJ%20Archive\2015\04-22-15.docx" TargetMode="External"/><Relationship Id="rId23" Type="http://schemas.openxmlformats.org/officeDocument/2006/relationships/hyperlink" Target="file:///p:\pprever\2015-16\441_20150326.docx" TargetMode="External"/><Relationship Id="rId28" Type="http://schemas.openxmlformats.org/officeDocument/2006/relationships/footer" Target="footer1.xml"/><Relationship Id="rId10" Type="http://schemas.openxmlformats.org/officeDocument/2006/relationships/hyperlink" Target="file:///h:\SJ%20Archive\2015\04-16-15.docx" TargetMode="External"/><Relationship Id="rId19" Type="http://schemas.openxmlformats.org/officeDocument/2006/relationships/hyperlink" Target="file:///h:\HJ%20Archive\2015\05-21-15.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4-15-15.docx" TargetMode="External"/><Relationship Id="rId14" Type="http://schemas.openxmlformats.org/officeDocument/2006/relationships/hyperlink" Target="file:///h:\HJ%20Archive\2015\04-22-15.docx" TargetMode="External"/><Relationship Id="rId22" Type="http://schemas.openxmlformats.org/officeDocument/2006/relationships/hyperlink" Target="file:///p:\pprever\2015-16\441_20150325.docx" TargetMode="External"/><Relationship Id="rId27" Type="http://schemas.openxmlformats.org/officeDocument/2006/relationships/hyperlink" Target="file:///p:\pprever\2015-16\441_2015051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441: Guaranteed Asset Protection Act - South Carolina Legislature Online</dc:title>
  <dc:subject/>
  <dc:creator>BRENDA MELTON</dc:creator>
  <cp:keywords/>
  <dc:description/>
  <cp:lastModifiedBy>N Cumfer</cp:lastModifiedBy>
  <cp:revision>2</cp:revision>
  <cp:lastPrinted>2015-05-21T18:07:00Z</cp:lastPrinted>
  <dcterms:created xsi:type="dcterms:W3CDTF">2016-12-02T17:02:00Z</dcterms:created>
  <dcterms:modified xsi:type="dcterms:W3CDTF">2016-12-02T17:02:00Z</dcterms:modified>
</cp:coreProperties>
</file>