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1A9E" w:rsidRDefault="00361A9E" w:rsidP="00361A9E">
      <w:pPr>
        <w:widowControl w:val="0"/>
        <w:jc w:val="center"/>
      </w:pPr>
      <w:bookmarkStart w:id="0" w:name="_GoBack"/>
      <w:bookmarkEnd w:id="0"/>
      <w:r w:rsidRPr="00361A9E">
        <w:rPr>
          <w:b/>
        </w:rPr>
        <w:t>South Carolina General Assembly</w:t>
      </w:r>
    </w:p>
    <w:p w:rsidR="00361A9E" w:rsidRDefault="00361A9E" w:rsidP="00361A9E">
      <w:pPr>
        <w:widowControl w:val="0"/>
        <w:jc w:val="center"/>
      </w:pPr>
      <w:r>
        <w:t>121st Session, 2015-2016</w:t>
      </w:r>
    </w:p>
    <w:p w:rsidR="00361A9E" w:rsidRDefault="00361A9E" w:rsidP="00361A9E">
      <w:pPr>
        <w:widowControl w:val="0"/>
        <w:jc w:val="left"/>
      </w:pPr>
    </w:p>
    <w:p w:rsidR="00361A9E" w:rsidRDefault="00361A9E" w:rsidP="00361A9E">
      <w:pPr>
        <w:widowControl w:val="0"/>
        <w:jc w:val="left"/>
        <w:rPr>
          <w:b/>
        </w:rPr>
      </w:pPr>
      <w:r w:rsidRPr="00361A9E">
        <w:rPr>
          <w:b/>
        </w:rPr>
        <w:t>H. 4558</w:t>
      </w:r>
    </w:p>
    <w:p w:rsidR="00361A9E" w:rsidRDefault="00361A9E" w:rsidP="00361A9E">
      <w:pPr>
        <w:widowControl w:val="0"/>
        <w:jc w:val="left"/>
        <w:rPr>
          <w:b/>
        </w:rPr>
      </w:pPr>
    </w:p>
    <w:p w:rsidR="00361A9E" w:rsidRDefault="00361A9E" w:rsidP="00361A9E">
      <w:pPr>
        <w:widowControl w:val="0"/>
        <w:jc w:val="left"/>
      </w:pPr>
      <w:r w:rsidRPr="00361A9E">
        <w:rPr>
          <w:b/>
        </w:rPr>
        <w:t>STATUS INFORMATION</w:t>
      </w:r>
    </w:p>
    <w:p w:rsidR="00361A9E" w:rsidRDefault="00361A9E" w:rsidP="00361A9E">
      <w:pPr>
        <w:widowControl w:val="0"/>
        <w:jc w:val="left"/>
      </w:pPr>
    </w:p>
    <w:p w:rsidR="00361A9E" w:rsidRDefault="00361A9E" w:rsidP="00361A9E">
      <w:pPr>
        <w:widowControl w:val="0"/>
        <w:jc w:val="left"/>
      </w:pPr>
      <w:r>
        <w:t>General Bill</w:t>
      </w:r>
    </w:p>
    <w:p w:rsidR="00361A9E" w:rsidRDefault="0035799E" w:rsidP="00361A9E">
      <w:pPr>
        <w:widowControl w:val="0"/>
        <w:jc w:val="left"/>
      </w:pPr>
      <w:r>
        <w:t>Sponsors: Reps. Gilliard and Clyburn</w:t>
      </w:r>
    </w:p>
    <w:p w:rsidR="00361A9E" w:rsidRDefault="00361A9E" w:rsidP="00361A9E">
      <w:pPr>
        <w:widowControl w:val="0"/>
        <w:jc w:val="left"/>
      </w:pPr>
      <w:r>
        <w:t>Document Path: l:\council\bills\dka\3147sa16.docx</w:t>
      </w:r>
    </w:p>
    <w:p w:rsidR="00361A9E" w:rsidRDefault="00361A9E" w:rsidP="00361A9E">
      <w:pPr>
        <w:widowControl w:val="0"/>
        <w:jc w:val="left"/>
      </w:pPr>
    </w:p>
    <w:p w:rsidR="004034DA" w:rsidRDefault="004034DA" w:rsidP="00361A9E">
      <w:pPr>
        <w:widowControl w:val="0"/>
        <w:jc w:val="left"/>
      </w:pPr>
      <w:r>
        <w:t>Introduced in the House on January 12, 2016</w:t>
      </w:r>
    </w:p>
    <w:p w:rsidR="004034DA" w:rsidRPr="004034DA" w:rsidRDefault="004034DA" w:rsidP="00361A9E">
      <w:pPr>
        <w:widowControl w:val="0"/>
        <w:jc w:val="left"/>
      </w:pPr>
      <w:r>
        <w:t xml:space="preserve">Currently residing in the House Committee on </w:t>
      </w:r>
      <w:r w:rsidRPr="004034DA">
        <w:rPr>
          <w:b/>
        </w:rPr>
        <w:t>Ways and Means</w:t>
      </w:r>
    </w:p>
    <w:p w:rsidR="004034DA" w:rsidRDefault="004034DA" w:rsidP="00361A9E">
      <w:pPr>
        <w:widowControl w:val="0"/>
        <w:jc w:val="left"/>
      </w:pPr>
    </w:p>
    <w:p w:rsidR="00361A9E" w:rsidRDefault="00361A9E" w:rsidP="00361A9E">
      <w:pPr>
        <w:widowControl w:val="0"/>
        <w:jc w:val="left"/>
      </w:pPr>
      <w:r>
        <w:t xml:space="preserve">Summary: </w:t>
      </w:r>
      <w:r w:rsidR="00996004">
        <w:t>Income tax credit</w:t>
      </w:r>
    </w:p>
    <w:p w:rsidR="00361A9E" w:rsidRDefault="00361A9E" w:rsidP="00361A9E">
      <w:pPr>
        <w:widowControl w:val="0"/>
        <w:jc w:val="left"/>
      </w:pPr>
    </w:p>
    <w:p w:rsidR="00361A9E" w:rsidRDefault="00361A9E" w:rsidP="00361A9E">
      <w:pPr>
        <w:widowControl w:val="0"/>
        <w:jc w:val="left"/>
      </w:pPr>
    </w:p>
    <w:p w:rsidR="00361A9E" w:rsidRDefault="00361A9E" w:rsidP="00361A9E">
      <w:pPr>
        <w:widowControl w:val="0"/>
        <w:tabs>
          <w:tab w:val="center" w:pos="590"/>
          <w:tab w:val="center" w:pos="1440"/>
          <w:tab w:val="left" w:pos="1872"/>
          <w:tab w:val="left" w:pos="9187"/>
        </w:tabs>
        <w:jc w:val="left"/>
      </w:pPr>
      <w:r w:rsidRPr="00361A9E">
        <w:rPr>
          <w:b/>
        </w:rPr>
        <w:t>HISTORY OF LEGISLATIVE ACTIONS</w:t>
      </w:r>
    </w:p>
    <w:p w:rsidR="00361A9E" w:rsidRDefault="00361A9E" w:rsidP="00361A9E">
      <w:pPr>
        <w:widowControl w:val="0"/>
        <w:tabs>
          <w:tab w:val="center" w:pos="590"/>
          <w:tab w:val="center" w:pos="1440"/>
          <w:tab w:val="left" w:pos="1872"/>
          <w:tab w:val="left" w:pos="9187"/>
        </w:tabs>
        <w:jc w:val="left"/>
      </w:pPr>
    </w:p>
    <w:p w:rsidR="00361A9E" w:rsidRPr="00361A9E" w:rsidRDefault="00361A9E" w:rsidP="00361A9E">
      <w:pPr>
        <w:widowControl w:val="0"/>
        <w:tabs>
          <w:tab w:val="center" w:pos="590"/>
          <w:tab w:val="center" w:pos="1440"/>
          <w:tab w:val="left" w:pos="1872"/>
          <w:tab w:val="left" w:pos="9187"/>
        </w:tabs>
        <w:jc w:val="left"/>
      </w:pPr>
      <w:r w:rsidRPr="00361A9E">
        <w:rPr>
          <w:u w:val="single"/>
        </w:rPr>
        <w:tab/>
        <w:t>Date</w:t>
      </w:r>
      <w:r w:rsidRPr="00361A9E">
        <w:rPr>
          <w:u w:val="single"/>
        </w:rPr>
        <w:tab/>
        <w:t>Body</w:t>
      </w:r>
      <w:r w:rsidRPr="00361A9E">
        <w:rPr>
          <w:u w:val="single"/>
        </w:rPr>
        <w:tab/>
        <w:t>Action Description with journal page number</w:t>
      </w:r>
      <w:r w:rsidRPr="00361A9E">
        <w:rPr>
          <w:u w:val="single"/>
        </w:rPr>
        <w:tab/>
      </w:r>
    </w:p>
    <w:p w:rsidR="00BD5CD0" w:rsidRDefault="00BD5CD0" w:rsidP="00BD5CD0">
      <w:pPr>
        <w:widowControl w:val="0"/>
        <w:tabs>
          <w:tab w:val="right" w:pos="1008"/>
          <w:tab w:val="left" w:pos="1152"/>
          <w:tab w:val="left" w:pos="1872"/>
          <w:tab w:val="left" w:pos="9187"/>
        </w:tabs>
        <w:ind w:left="2088" w:hanging="2088"/>
        <w:jc w:val="left"/>
      </w:pPr>
      <w:r>
        <w:tab/>
        <w:t>12/10/2015</w:t>
      </w:r>
      <w:r>
        <w:tab/>
        <w:t>House</w:t>
      </w:r>
      <w:r>
        <w:tab/>
      </w:r>
      <w:r w:rsidRPr="00E60C08">
        <w:t>Prefiled</w:t>
      </w:r>
    </w:p>
    <w:p w:rsidR="00BD5CD0" w:rsidRDefault="00BD5CD0" w:rsidP="00BD5CD0">
      <w:pPr>
        <w:widowControl w:val="0"/>
        <w:tabs>
          <w:tab w:val="right" w:pos="1008"/>
          <w:tab w:val="left" w:pos="1152"/>
          <w:tab w:val="left" w:pos="1872"/>
          <w:tab w:val="left" w:pos="9187"/>
        </w:tabs>
        <w:ind w:left="2088" w:hanging="2088"/>
        <w:jc w:val="left"/>
      </w:pPr>
      <w:r>
        <w:tab/>
        <w:t>12/10/2015</w:t>
      </w:r>
      <w:r>
        <w:tab/>
        <w:t>House</w:t>
      </w:r>
      <w:r>
        <w:tab/>
      </w:r>
      <w:r w:rsidRPr="00E60C08">
        <w:t xml:space="preserve">Referred to Committee on </w:t>
      </w:r>
      <w:r w:rsidRPr="00E60C08">
        <w:rPr>
          <w:b/>
        </w:rPr>
        <w:t>Ways and Means</w:t>
      </w:r>
    </w:p>
    <w:p w:rsidR="00BD5CD0" w:rsidRDefault="00BD5CD0" w:rsidP="00BD5CD0">
      <w:pPr>
        <w:widowControl w:val="0"/>
        <w:tabs>
          <w:tab w:val="right" w:pos="1008"/>
          <w:tab w:val="left" w:pos="1152"/>
          <w:tab w:val="left" w:pos="1872"/>
          <w:tab w:val="left" w:pos="9187"/>
        </w:tabs>
        <w:ind w:left="2088" w:hanging="2088"/>
        <w:jc w:val="left"/>
      </w:pPr>
      <w:r>
        <w:tab/>
        <w:t>1/12/2016</w:t>
      </w:r>
      <w:r>
        <w:tab/>
        <w:t>House</w:t>
      </w:r>
      <w:r>
        <w:tab/>
      </w:r>
      <w:r w:rsidRPr="00E60C08">
        <w:t>Introduced and read first time (</w:t>
      </w:r>
      <w:hyperlink r:id="rId7" w:history="1">
        <w:r w:rsidRPr="00A04095">
          <w:rPr>
            <w:rStyle w:val="Hyperlink"/>
          </w:rPr>
          <w:t>House Journal</w:t>
        </w:r>
        <w:r w:rsidRPr="00A04095">
          <w:rPr>
            <w:rStyle w:val="Hyperlink"/>
          </w:rPr>
          <w:noBreakHyphen/>
          <w:t>page 104</w:t>
        </w:r>
      </w:hyperlink>
      <w:r w:rsidRPr="00E60C08">
        <w:t>)</w:t>
      </w:r>
    </w:p>
    <w:p w:rsidR="00BD5CD0" w:rsidRDefault="00BD5CD0" w:rsidP="00BD5CD0">
      <w:pPr>
        <w:widowControl w:val="0"/>
        <w:tabs>
          <w:tab w:val="right" w:pos="1008"/>
          <w:tab w:val="left" w:pos="1152"/>
          <w:tab w:val="left" w:pos="1872"/>
          <w:tab w:val="left" w:pos="9187"/>
        </w:tabs>
        <w:ind w:left="2088" w:hanging="2088"/>
        <w:jc w:val="left"/>
      </w:pPr>
      <w:r>
        <w:tab/>
        <w:t>1/12/2016</w:t>
      </w:r>
      <w:r>
        <w:tab/>
        <w:t>House</w:t>
      </w:r>
      <w:r>
        <w:tab/>
      </w:r>
      <w:r w:rsidRPr="00E60C08">
        <w:t>Referred</w:t>
      </w:r>
      <w:r>
        <w:t xml:space="preserve"> to Committee on </w:t>
      </w:r>
      <w:r w:rsidRPr="00E60C08">
        <w:rPr>
          <w:b/>
        </w:rPr>
        <w:t>Ways and Means</w:t>
      </w:r>
      <w:r>
        <w:t xml:space="preserve"> </w:t>
      </w:r>
      <w:r w:rsidRPr="00E60C08">
        <w:t>(</w:t>
      </w:r>
      <w:hyperlink r:id="rId8" w:history="1">
        <w:r w:rsidRPr="00A04095">
          <w:rPr>
            <w:rStyle w:val="Hyperlink"/>
          </w:rPr>
          <w:t>House Journal</w:t>
        </w:r>
        <w:r w:rsidRPr="00A04095">
          <w:rPr>
            <w:rStyle w:val="Hyperlink"/>
          </w:rPr>
          <w:noBreakHyphen/>
          <w:t>page 104</w:t>
        </w:r>
      </w:hyperlink>
      <w:r w:rsidRPr="00E60C08">
        <w:t>)</w:t>
      </w:r>
    </w:p>
    <w:p w:rsidR="00BD5CD0" w:rsidRDefault="00BD5CD0" w:rsidP="00BD5CD0">
      <w:pPr>
        <w:widowControl w:val="0"/>
        <w:tabs>
          <w:tab w:val="right" w:pos="1008"/>
          <w:tab w:val="left" w:pos="1152"/>
          <w:tab w:val="left" w:pos="1872"/>
          <w:tab w:val="left" w:pos="9187"/>
        </w:tabs>
        <w:ind w:left="2088" w:hanging="2088"/>
        <w:jc w:val="left"/>
      </w:pPr>
    </w:p>
    <w:p w:rsidR="00361A9E" w:rsidRDefault="00361A9E" w:rsidP="00361A9E">
      <w:pPr>
        <w:widowControl w:val="0"/>
        <w:tabs>
          <w:tab w:val="right" w:pos="1008"/>
          <w:tab w:val="left" w:pos="1152"/>
          <w:tab w:val="left" w:pos="1872"/>
          <w:tab w:val="left" w:pos="9187"/>
        </w:tabs>
        <w:ind w:left="2088" w:hanging="2088"/>
        <w:jc w:val="left"/>
      </w:pPr>
      <w:r>
        <w:t xml:space="preserve">View the latest </w:t>
      </w:r>
      <w:hyperlink r:id="rId9" w:history="1">
        <w:r w:rsidRPr="00361A9E">
          <w:rPr>
            <w:rStyle w:val="Hyperlink"/>
          </w:rPr>
          <w:t>legislative information</w:t>
        </w:r>
      </w:hyperlink>
      <w:r>
        <w:t xml:space="preserve"> at the website</w:t>
      </w:r>
    </w:p>
    <w:p w:rsidR="00361A9E" w:rsidRDefault="00361A9E" w:rsidP="00361A9E">
      <w:pPr>
        <w:widowControl w:val="0"/>
        <w:tabs>
          <w:tab w:val="right" w:pos="1008"/>
          <w:tab w:val="left" w:pos="1152"/>
          <w:tab w:val="left" w:pos="1872"/>
          <w:tab w:val="left" w:pos="9187"/>
        </w:tabs>
        <w:ind w:left="2088" w:hanging="2088"/>
        <w:jc w:val="left"/>
      </w:pPr>
    </w:p>
    <w:p w:rsidR="00361A9E" w:rsidRPr="00361A9E" w:rsidRDefault="00361A9E" w:rsidP="00361A9E">
      <w:pPr>
        <w:widowControl w:val="0"/>
        <w:tabs>
          <w:tab w:val="right" w:pos="1008"/>
          <w:tab w:val="left" w:pos="1152"/>
          <w:tab w:val="left" w:pos="1872"/>
          <w:tab w:val="left" w:pos="9187"/>
        </w:tabs>
        <w:ind w:left="2088" w:hanging="2088"/>
        <w:jc w:val="left"/>
      </w:pPr>
    </w:p>
    <w:p w:rsidR="00361A9E" w:rsidRDefault="00361A9E" w:rsidP="00361A9E">
      <w:pPr>
        <w:widowControl w:val="0"/>
        <w:jc w:val="left"/>
      </w:pPr>
      <w:r w:rsidRPr="00361A9E">
        <w:rPr>
          <w:b/>
        </w:rPr>
        <w:t>VERSIONS OF THIS BILL</w:t>
      </w:r>
    </w:p>
    <w:p w:rsidR="00361A9E" w:rsidRDefault="00361A9E" w:rsidP="00361A9E">
      <w:pPr>
        <w:widowControl w:val="0"/>
        <w:jc w:val="left"/>
      </w:pPr>
    </w:p>
    <w:p w:rsidR="00361A9E" w:rsidRDefault="00A04095" w:rsidP="00361A9E">
      <w:pPr>
        <w:widowControl w:val="0"/>
        <w:jc w:val="left"/>
      </w:pPr>
      <w:hyperlink r:id="rId10" w:history="1">
        <w:r w:rsidR="00361A9E">
          <w:rPr>
            <w:rStyle w:val="Hyperlink"/>
          </w:rPr>
          <w:t>12/10/2015</w:t>
        </w:r>
      </w:hyperlink>
    </w:p>
    <w:p w:rsidR="00361A9E" w:rsidRDefault="00361A9E" w:rsidP="00361A9E"/>
    <w:p w:rsidR="00361A9E" w:rsidRDefault="00361A9E" w:rsidP="00361A9E">
      <w:pPr>
        <w:sectPr w:rsidR="00361A9E" w:rsidSect="00361A9E">
          <w:pgSz w:w="12240" w:h="15840" w:code="1"/>
          <w:pgMar w:top="1080" w:right="1440" w:bottom="1080" w:left="1440" w:header="720" w:footer="720" w:gutter="0"/>
          <w:cols w:space="720"/>
          <w:noEndnote/>
          <w:docGrid w:linePitch="360"/>
        </w:sectPr>
      </w:pPr>
    </w:p>
    <w:p w:rsidR="00A96924" w:rsidRDefault="00A96924" w:rsidP="0006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26E" w:rsidRDefault="0006326E" w:rsidP="0006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26E" w:rsidRDefault="0006326E" w:rsidP="0006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26E" w:rsidRDefault="0006326E" w:rsidP="0006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26E" w:rsidRDefault="0006326E" w:rsidP="0006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26E" w:rsidRDefault="0006326E" w:rsidP="0006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26E" w:rsidRDefault="0006326E" w:rsidP="0006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6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538B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E74" w:rsidRPr="00BD25B7" w:rsidRDefault="00E84E74" w:rsidP="00E84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D25B7">
        <w:rPr>
          <w:color w:val="000000" w:themeColor="text1"/>
          <w:u w:color="000000" w:themeColor="text1"/>
        </w:rPr>
        <w:t>TO AMEND THE CODE OF LAWS OF SOUTH CAROLINA, 1976, BY ADDING SECTION 12</w:t>
      </w:r>
      <w:r>
        <w:rPr>
          <w:color w:val="000000" w:themeColor="text1"/>
          <w:u w:color="000000" w:themeColor="text1"/>
        </w:rPr>
        <w:noBreakHyphen/>
      </w:r>
      <w:r w:rsidRPr="00BD25B7">
        <w:rPr>
          <w:color w:val="000000" w:themeColor="text1"/>
          <w:u w:color="000000" w:themeColor="text1"/>
        </w:rPr>
        <w:t>6</w:t>
      </w:r>
      <w:r>
        <w:rPr>
          <w:color w:val="000000" w:themeColor="text1"/>
          <w:u w:color="000000" w:themeColor="text1"/>
        </w:rPr>
        <w:noBreakHyphen/>
      </w:r>
      <w:r w:rsidRPr="00BD25B7">
        <w:rPr>
          <w:color w:val="000000" w:themeColor="text1"/>
          <w:u w:color="000000" w:themeColor="text1"/>
        </w:rPr>
        <w:t xml:space="preserve">3760 SO AS TO PROVIDE FOR AN INCOME TAX CREDIT TO A DEVELOPER OF REAL ESTATE WHO ASSISTS IN RELOCATING CERTAIN DISPLACED INDIVIDUALS.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538B9" w:rsidRDefault="00A538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38B9" w:rsidRDefault="00A538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E74" w:rsidRPr="00BD25B7" w:rsidRDefault="00A538B9" w:rsidP="00E84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84E74" w:rsidRPr="00BD25B7">
        <w:rPr>
          <w:color w:val="000000" w:themeColor="text1"/>
          <w:u w:color="000000" w:themeColor="text1"/>
        </w:rPr>
        <w:t xml:space="preserve">Article 25, Chapter 6, Title 12 of the 1976 Code is amended by adding: </w:t>
      </w:r>
    </w:p>
    <w:p w:rsidR="00E84E74" w:rsidRPr="00BD25B7" w:rsidRDefault="00E84E74" w:rsidP="00E84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4E74" w:rsidRPr="00BD25B7" w:rsidRDefault="00E84E74" w:rsidP="00E84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25B7">
        <w:rPr>
          <w:color w:val="000000" w:themeColor="text1"/>
          <w:u w:color="000000" w:themeColor="text1"/>
        </w:rPr>
        <w:t>“Section 12</w:t>
      </w:r>
      <w:r>
        <w:rPr>
          <w:color w:val="000000" w:themeColor="text1"/>
          <w:u w:color="000000" w:themeColor="text1"/>
        </w:rPr>
        <w:noBreakHyphen/>
      </w:r>
      <w:r w:rsidRPr="00BD25B7">
        <w:rPr>
          <w:color w:val="000000" w:themeColor="text1"/>
          <w:u w:color="000000" w:themeColor="text1"/>
        </w:rPr>
        <w:t>6</w:t>
      </w:r>
      <w:r>
        <w:rPr>
          <w:color w:val="000000" w:themeColor="text1"/>
          <w:u w:color="000000" w:themeColor="text1"/>
        </w:rPr>
        <w:noBreakHyphen/>
      </w:r>
      <w:r w:rsidRPr="00BD25B7">
        <w:rPr>
          <w:color w:val="000000" w:themeColor="text1"/>
          <w:u w:color="000000" w:themeColor="text1"/>
        </w:rPr>
        <w:t>3760.</w:t>
      </w:r>
      <w:r>
        <w:rPr>
          <w:color w:val="000000" w:themeColor="text1"/>
          <w:u w:color="000000" w:themeColor="text1"/>
        </w:rPr>
        <w:tab/>
      </w:r>
      <w:r w:rsidRPr="00BD25B7">
        <w:rPr>
          <w:color w:val="000000" w:themeColor="text1"/>
          <w:u w:color="000000" w:themeColor="text1"/>
        </w:rPr>
        <w:t>(A)</w:t>
      </w:r>
      <w:r>
        <w:rPr>
          <w:color w:val="000000" w:themeColor="text1"/>
          <w:u w:color="000000" w:themeColor="text1"/>
        </w:rPr>
        <w:tab/>
      </w:r>
      <w:r w:rsidRPr="00BD25B7">
        <w:rPr>
          <w:color w:val="000000" w:themeColor="text1"/>
          <w:u w:color="000000" w:themeColor="text1"/>
        </w:rPr>
        <w:t xml:space="preserve">A developer of real estate in this State who assists in relocating a displaced individual who is displaced due to the developer redeveloping the dwelling place of the individual is entitled to an income tax credit. The credit is equal to twenty percent of the cost incurred by the developer to relocate the individual.  For purposes of calculating the credit amount attributable to the relocation of an individual, the amount the developer incurs to relocate a group of individuals who shared a dwelling place immediately </w:t>
      </w:r>
      <w:r>
        <w:rPr>
          <w:color w:val="000000" w:themeColor="text1"/>
          <w:u w:color="000000" w:themeColor="text1"/>
        </w:rPr>
        <w:t xml:space="preserve">before </w:t>
      </w:r>
      <w:r w:rsidRPr="00BD25B7">
        <w:rPr>
          <w:color w:val="000000" w:themeColor="text1"/>
          <w:u w:color="000000" w:themeColor="text1"/>
        </w:rPr>
        <w:t xml:space="preserve">the redevelopment and immediately after the redevelopment, must be divided equally amongst the group of individuals.  </w:t>
      </w:r>
    </w:p>
    <w:p w:rsidR="00E84E74" w:rsidRPr="00BD25B7" w:rsidRDefault="00E84E74" w:rsidP="00E84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25B7">
        <w:rPr>
          <w:color w:val="000000" w:themeColor="text1"/>
          <w:u w:color="000000" w:themeColor="text1"/>
        </w:rPr>
        <w:t>(B)</w:t>
      </w:r>
      <w:r>
        <w:rPr>
          <w:color w:val="000000" w:themeColor="text1"/>
          <w:u w:color="000000" w:themeColor="text1"/>
        </w:rPr>
        <w:tab/>
      </w:r>
      <w:r w:rsidRPr="00BD25B7">
        <w:rPr>
          <w:color w:val="000000" w:themeColor="text1"/>
          <w:u w:color="000000" w:themeColor="text1"/>
        </w:rPr>
        <w:t>The credit allowed pursuant to this section may not exceed one hundred thousand dollars for each developer and must be taken in equal installments over a five</w:t>
      </w:r>
      <w:r>
        <w:rPr>
          <w:color w:val="000000" w:themeColor="text1"/>
          <w:u w:color="000000" w:themeColor="text1"/>
        </w:rPr>
        <w:noBreakHyphen/>
      </w:r>
      <w:r w:rsidRPr="00BD25B7">
        <w:rPr>
          <w:color w:val="000000" w:themeColor="text1"/>
          <w:u w:color="000000" w:themeColor="text1"/>
        </w:rPr>
        <w:t>year period beginning in the year in which the costs are incurred.</w:t>
      </w:r>
    </w:p>
    <w:p w:rsidR="00E84E74" w:rsidRPr="00BD25B7" w:rsidRDefault="00E84E74" w:rsidP="00E84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25B7">
        <w:rPr>
          <w:color w:val="000000" w:themeColor="text1"/>
          <w:u w:color="000000" w:themeColor="text1"/>
        </w:rPr>
        <w:t>(C)</w:t>
      </w:r>
      <w:r>
        <w:rPr>
          <w:color w:val="000000" w:themeColor="text1"/>
          <w:u w:color="000000" w:themeColor="text1"/>
        </w:rPr>
        <w:tab/>
      </w:r>
      <w:r w:rsidRPr="00BD25B7">
        <w:rPr>
          <w:color w:val="000000" w:themeColor="text1"/>
          <w:u w:color="000000" w:themeColor="text1"/>
        </w:rPr>
        <w:t>The total amount of credits allowed for all taxpayers in each year may not exceed in the aggregate, two million dollars and must apply to eligible claimants on a first</w:t>
      </w:r>
      <w:r>
        <w:rPr>
          <w:color w:val="000000" w:themeColor="text1"/>
          <w:u w:color="000000" w:themeColor="text1"/>
        </w:rPr>
        <w:noBreakHyphen/>
      </w:r>
      <w:r w:rsidRPr="00BD25B7">
        <w:rPr>
          <w:color w:val="000000" w:themeColor="text1"/>
          <w:u w:color="000000" w:themeColor="text1"/>
        </w:rPr>
        <w:t>come, first</w:t>
      </w:r>
      <w:r>
        <w:rPr>
          <w:color w:val="000000" w:themeColor="text1"/>
          <w:u w:color="000000" w:themeColor="text1"/>
        </w:rPr>
        <w:noBreakHyphen/>
      </w:r>
      <w:r w:rsidRPr="00BD25B7">
        <w:rPr>
          <w:color w:val="000000" w:themeColor="text1"/>
          <w:u w:color="000000" w:themeColor="text1"/>
        </w:rPr>
        <w:t>served basis as determined by the Department of Revenue in a manner it prescribes until the total allowable credits for the tax year are exhausted.</w:t>
      </w:r>
    </w:p>
    <w:p w:rsidR="00055E02" w:rsidRDefault="00E84E74" w:rsidP="00E84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BD25B7">
        <w:rPr>
          <w:color w:val="000000" w:themeColor="text1"/>
          <w:u w:color="000000" w:themeColor="text1"/>
        </w:rPr>
        <w:t>(D)</w:t>
      </w:r>
      <w:r>
        <w:rPr>
          <w:color w:val="000000" w:themeColor="text1"/>
          <w:u w:color="000000" w:themeColor="text1"/>
        </w:rPr>
        <w:tab/>
      </w:r>
      <w:r w:rsidRPr="00BD25B7">
        <w:rPr>
          <w:color w:val="000000" w:themeColor="text1"/>
          <w:u w:color="000000" w:themeColor="text1"/>
        </w:rPr>
        <w:t>Any unused portion of any credit installment may be carried forward for the succeeding five years.</w:t>
      </w:r>
    </w:p>
    <w:p w:rsidR="00E84E74" w:rsidRPr="00BD25B7" w:rsidRDefault="00055E02" w:rsidP="00E84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7019">
        <w:rPr>
          <w:color w:val="000000" w:themeColor="text1"/>
          <w:u w:color="000000" w:themeColor="text1"/>
        </w:rPr>
        <w:t>(E)</w:t>
      </w:r>
      <w:r>
        <w:rPr>
          <w:color w:val="000000" w:themeColor="text1"/>
          <w:u w:color="000000" w:themeColor="text1"/>
        </w:rPr>
        <w:tab/>
      </w:r>
      <w:r w:rsidRPr="00747019">
        <w:rPr>
          <w:color w:val="000000" w:themeColor="text1"/>
          <w:u w:color="000000" w:themeColor="text1"/>
        </w:rPr>
        <w:t>The Department of Revenue may promulgate regulations to administer the tax credit.</w:t>
      </w:r>
      <w:r w:rsidR="00E84E74" w:rsidRPr="00BD25B7">
        <w:rPr>
          <w:color w:val="000000" w:themeColor="text1"/>
          <w:u w:color="000000" w:themeColor="text1"/>
        </w:rPr>
        <w:t>”</w:t>
      </w:r>
    </w:p>
    <w:p w:rsidR="00E84E74" w:rsidRPr="00BD25B7" w:rsidRDefault="00E84E74" w:rsidP="00E84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38B9" w:rsidRDefault="00E84E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25B7">
        <w:rPr>
          <w:color w:val="000000" w:themeColor="text1"/>
          <w:u w:color="000000" w:themeColor="text1"/>
        </w:rPr>
        <w:t>SECTION 2. This act takes effect in income tax years beginning after 2015.</w:t>
      </w:r>
    </w:p>
    <w:p w:rsidR="008629EA" w:rsidRDefault="00E84E7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61A9E" w:rsidRDefault="00361A9E" w:rsidP="00361A9E">
      <w:pPr>
        <w:suppressAutoHyphens/>
      </w:pPr>
    </w:p>
    <w:sectPr w:rsidR="00361A9E" w:rsidSect="00361A9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38B9" w:rsidRDefault="00A538B9" w:rsidP="009F0C77">
      <w:r>
        <w:separator/>
      </w:r>
    </w:p>
  </w:endnote>
  <w:endnote w:type="continuationSeparator" w:id="0">
    <w:p w:rsidR="00A538B9" w:rsidRDefault="00A538B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DCDFFCF-4DEB-44C1-BAA5-F5A008B3502C}"/>
    <w:embedBold r:id="rId2" w:fontKey="{CA40C40B-3A7E-4B2E-A1E1-45496B509023}"/>
  </w:font>
  <w:font w:name="Calibri">
    <w:panose1 w:val="020F0502020204030204"/>
    <w:charset w:val="00"/>
    <w:family w:val="swiss"/>
    <w:pitch w:val="variable"/>
    <w:sig w:usb0="E00002FF" w:usb1="4000ACFF" w:usb2="00000001" w:usb3="00000000" w:csb0="0000019F" w:csb1="00000000"/>
    <w:embedRegular r:id="rId3" w:fontKey="{526E597D-7C37-44A2-91E1-0EEFB54F10E4}"/>
  </w:font>
  <w:font w:name="Segoe UI">
    <w:panose1 w:val="020B0502040204020203"/>
    <w:charset w:val="00"/>
    <w:family w:val="swiss"/>
    <w:pitch w:val="variable"/>
    <w:sig w:usb0="E10022FF" w:usb1="C000E47F" w:usb2="00000029" w:usb3="00000000" w:csb0="000001DF" w:csb1="00000000"/>
    <w:embedRegular r:id="rId4" w:fontKey="{002CA5E0-2250-4211-B9A2-DA27B65A0D31}"/>
  </w:font>
  <w:font w:name="Cambria">
    <w:panose1 w:val="02040503050406030204"/>
    <w:charset w:val="00"/>
    <w:family w:val="roman"/>
    <w:pitch w:val="variable"/>
    <w:sig w:usb0="E00002FF" w:usb1="400004FF" w:usb2="00000000" w:usb3="00000000" w:csb0="0000019F" w:csb1="00000000"/>
    <w:embedRegular r:id="rId5" w:fontKey="{E446C8FF-933B-42D4-9E24-66307D0953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1A9E" w:rsidRPr="00A96924" w:rsidRDefault="00361A9E" w:rsidP="00A96924">
    <w:pPr>
      <w:pStyle w:val="Footer"/>
      <w:tabs>
        <w:tab w:val="clear" w:pos="4680"/>
        <w:tab w:val="clear" w:pos="9360"/>
        <w:tab w:val="center" w:pos="2995"/>
      </w:tabs>
      <w:spacing w:before="120"/>
    </w:pPr>
    <w:r>
      <w:t>[4558]</w:t>
    </w:r>
    <w:r>
      <w:tab/>
    </w:r>
    <w:r>
      <w:fldChar w:fldCharType="begin"/>
    </w:r>
    <w:r>
      <w:instrText xml:space="preserve"> PAGE  \* MERGEFORMAT </w:instrText>
    </w:r>
    <w:r>
      <w:fldChar w:fldCharType="separate"/>
    </w:r>
    <w:r w:rsidR="00A0409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38B9" w:rsidRDefault="00A538B9" w:rsidP="009F0C77">
      <w:r>
        <w:separator/>
      </w:r>
    </w:p>
  </w:footnote>
  <w:footnote w:type="continuationSeparator" w:id="0">
    <w:p w:rsidR="00A538B9" w:rsidRDefault="00A538B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7SA16"/>
    <w:docVar w:name="CoverBillType" w:val="b"/>
    <w:docVar w:name="docpath" w:val="L:\Council\bills\DKA\3147SA16.DOCX"/>
    <w:docVar w:name="dvBillNumber" w:val="4558"/>
    <w:docVar w:name="dvBillNumberPrefix" w:val="H. "/>
    <w:docVar w:name="dvOriginalBody" w:val="House"/>
    <w:docVar w:name="dvSteno" w:val="DKA"/>
    <w:docVar w:name="NameofBody" w:val="h"/>
    <w:docVar w:name="vgroup2" w:val="Council"/>
  </w:docVars>
  <w:rsids>
    <w:rsidRoot w:val="00A538B9"/>
    <w:rsid w:val="00011869"/>
    <w:rsid w:val="00015CD6"/>
    <w:rsid w:val="00055E02"/>
    <w:rsid w:val="0006326E"/>
    <w:rsid w:val="000E1785"/>
    <w:rsid w:val="000F40FA"/>
    <w:rsid w:val="0010776B"/>
    <w:rsid w:val="00133E66"/>
    <w:rsid w:val="001435A3"/>
    <w:rsid w:val="00146ED3"/>
    <w:rsid w:val="00151044"/>
    <w:rsid w:val="0015608D"/>
    <w:rsid w:val="001D08F2"/>
    <w:rsid w:val="001D525B"/>
    <w:rsid w:val="001D7F4F"/>
    <w:rsid w:val="00205238"/>
    <w:rsid w:val="002321B6"/>
    <w:rsid w:val="00250967"/>
    <w:rsid w:val="002543C8"/>
    <w:rsid w:val="0025541D"/>
    <w:rsid w:val="00284AAE"/>
    <w:rsid w:val="002B60DB"/>
    <w:rsid w:val="002E5912"/>
    <w:rsid w:val="00301B21"/>
    <w:rsid w:val="00325348"/>
    <w:rsid w:val="0032732C"/>
    <w:rsid w:val="00336AD0"/>
    <w:rsid w:val="0035799E"/>
    <w:rsid w:val="00361A9E"/>
    <w:rsid w:val="003674FA"/>
    <w:rsid w:val="0037079A"/>
    <w:rsid w:val="003C4DAB"/>
    <w:rsid w:val="003D01E8"/>
    <w:rsid w:val="003E5288"/>
    <w:rsid w:val="003F6D79"/>
    <w:rsid w:val="004034DA"/>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732D4"/>
    <w:rsid w:val="007A70AE"/>
    <w:rsid w:val="008362E8"/>
    <w:rsid w:val="008629EA"/>
    <w:rsid w:val="008A1768"/>
    <w:rsid w:val="008F0F33"/>
    <w:rsid w:val="008F4429"/>
    <w:rsid w:val="0094021A"/>
    <w:rsid w:val="00996004"/>
    <w:rsid w:val="009B44AF"/>
    <w:rsid w:val="009C6A0B"/>
    <w:rsid w:val="009F0C77"/>
    <w:rsid w:val="009F4DD1"/>
    <w:rsid w:val="00A04095"/>
    <w:rsid w:val="00A41684"/>
    <w:rsid w:val="00A45EBA"/>
    <w:rsid w:val="00A538B9"/>
    <w:rsid w:val="00A64E80"/>
    <w:rsid w:val="00A72BCD"/>
    <w:rsid w:val="00A741D9"/>
    <w:rsid w:val="00A833AB"/>
    <w:rsid w:val="00A96924"/>
    <w:rsid w:val="00A9741D"/>
    <w:rsid w:val="00AD4B17"/>
    <w:rsid w:val="00B412D4"/>
    <w:rsid w:val="00BD5CD0"/>
    <w:rsid w:val="00BE3C22"/>
    <w:rsid w:val="00C0345E"/>
    <w:rsid w:val="00C3483A"/>
    <w:rsid w:val="00C74E9D"/>
    <w:rsid w:val="00C82FD3"/>
    <w:rsid w:val="00C92819"/>
    <w:rsid w:val="00CC6B7B"/>
    <w:rsid w:val="00CD2089"/>
    <w:rsid w:val="00D73A67"/>
    <w:rsid w:val="00D970A9"/>
    <w:rsid w:val="00DF3845"/>
    <w:rsid w:val="00E41911"/>
    <w:rsid w:val="00E80A3D"/>
    <w:rsid w:val="00E84E74"/>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EB6EB8-2E6E-48E5-B51D-9FCC30348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732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32D4"/>
    <w:rPr>
      <w:rFonts w:ascii="Segoe UI" w:eastAsia="Times New Roman" w:hAnsi="Segoe UI" w:cs="Segoe UI"/>
      <w:sz w:val="18"/>
      <w:szCs w:val="18"/>
    </w:rPr>
  </w:style>
  <w:style w:type="character" w:styleId="Hyperlink">
    <w:name w:val="Hyperlink"/>
    <w:basedOn w:val="DefaultParagraphFont"/>
    <w:uiPriority w:val="99"/>
    <w:unhideWhenUsed/>
    <w:rsid w:val="00361A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558_201512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58&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A34196-9967-4419-A8F0-7BD411A3C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434</Words>
  <Characters>2480</Characters>
  <Application>Microsoft Office Word</Application>
  <DocSecurity>6</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4558: Income tax credit - South Carolina Legislature Online</dc:title>
  <dc:creator>sharonpair</dc:creator>
  <cp:lastModifiedBy>N Cumfer</cp:lastModifiedBy>
  <cp:revision>2</cp:revision>
  <cp:lastPrinted>2015-12-09T19:49:00Z</cp:lastPrinted>
  <dcterms:created xsi:type="dcterms:W3CDTF">2016-12-02T19:12:00Z</dcterms:created>
  <dcterms:modified xsi:type="dcterms:W3CDTF">2016-12-02T19:12:00Z</dcterms:modified>
</cp:coreProperties>
</file>