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853F7">
        <w:rPr>
          <w:rFonts w:eastAsia="Times New Roman" w:cs="Times New Roman"/>
          <w:b/>
          <w:szCs w:val="20"/>
        </w:rPr>
        <w:t>South Carolina General Assembly</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853F7">
        <w:rPr>
          <w:rFonts w:eastAsia="Times New Roman" w:cs="Times New Roman"/>
          <w:szCs w:val="20"/>
        </w:rPr>
        <w:t>121st Session, 2015-2016</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9D1B7D"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A242, R278, H5021</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b/>
          <w:szCs w:val="20"/>
        </w:rPr>
        <w:t>STATUS INFORMATION</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szCs w:val="20"/>
        </w:rPr>
        <w:t>General Bill</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szCs w:val="20"/>
        </w:rPr>
        <w:t>Sponsors: Reps. Collins, Clary and Felder</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szCs w:val="20"/>
        </w:rPr>
        <w:t>Document Path: l:\council\bills\agm\18891ab16.docx</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2016</w:t>
      </w: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5, 2016, Signed</w:t>
      </w:r>
    </w:p>
    <w:p w:rsidR="007B1F25" w:rsidRDefault="007B1F25"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szCs w:val="20"/>
        </w:rPr>
        <w:t>Summary: Adult Students with Disabilities Educational Rights Consent Act</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C853F7" w:rsidP="00C853F7">
      <w:pPr>
        <w:widowControl w:val="0"/>
        <w:tabs>
          <w:tab w:val="center" w:pos="590"/>
          <w:tab w:val="center" w:pos="1440"/>
          <w:tab w:val="left" w:pos="1872"/>
          <w:tab w:val="left" w:pos="9187"/>
        </w:tabs>
        <w:rPr>
          <w:rFonts w:eastAsia="Times New Roman" w:cs="Times New Roman"/>
          <w:szCs w:val="20"/>
        </w:rPr>
      </w:pPr>
      <w:r w:rsidRPr="00C853F7">
        <w:rPr>
          <w:rFonts w:eastAsia="Times New Roman" w:cs="Times New Roman"/>
          <w:b/>
          <w:szCs w:val="20"/>
        </w:rPr>
        <w:t>HISTORY OF LEGISLATIVE ACTIONS</w:t>
      </w:r>
    </w:p>
    <w:p w:rsidR="00C853F7" w:rsidRPr="00C853F7" w:rsidRDefault="00C853F7" w:rsidP="00C853F7">
      <w:pPr>
        <w:widowControl w:val="0"/>
        <w:tabs>
          <w:tab w:val="center" w:pos="590"/>
          <w:tab w:val="center" w:pos="1440"/>
          <w:tab w:val="left" w:pos="1872"/>
          <w:tab w:val="left" w:pos="9187"/>
        </w:tabs>
        <w:rPr>
          <w:rFonts w:eastAsia="Times New Roman" w:cs="Times New Roman"/>
          <w:szCs w:val="20"/>
        </w:rPr>
      </w:pPr>
    </w:p>
    <w:p w:rsidR="00C853F7" w:rsidRPr="00C853F7" w:rsidRDefault="00C853F7" w:rsidP="00C853F7">
      <w:pPr>
        <w:widowControl w:val="0"/>
        <w:tabs>
          <w:tab w:val="center" w:pos="590"/>
          <w:tab w:val="center" w:pos="1440"/>
          <w:tab w:val="left" w:pos="1872"/>
          <w:tab w:val="left" w:pos="9187"/>
        </w:tabs>
        <w:rPr>
          <w:rFonts w:eastAsia="Times New Roman" w:cs="Times New Roman"/>
          <w:szCs w:val="20"/>
        </w:rPr>
      </w:pPr>
      <w:r w:rsidRPr="00C853F7">
        <w:rPr>
          <w:rFonts w:eastAsia="Times New Roman" w:cs="Times New Roman"/>
          <w:szCs w:val="20"/>
          <w:u w:val="single"/>
        </w:rPr>
        <w:tab/>
        <w:t>Date</w:t>
      </w:r>
      <w:r w:rsidRPr="00C853F7">
        <w:rPr>
          <w:rFonts w:eastAsia="Times New Roman" w:cs="Times New Roman"/>
          <w:szCs w:val="20"/>
          <w:u w:val="single"/>
        </w:rPr>
        <w:tab/>
        <w:t>Body</w:t>
      </w:r>
      <w:r w:rsidRPr="00C853F7">
        <w:rPr>
          <w:rFonts w:eastAsia="Times New Roman" w:cs="Times New Roman"/>
          <w:szCs w:val="20"/>
          <w:u w:val="single"/>
        </w:rPr>
        <w:tab/>
        <w:t>Action Description with journal page number</w:t>
      </w:r>
      <w:r w:rsidRPr="00C853F7">
        <w:rPr>
          <w:rFonts w:eastAsia="Times New Roman" w:cs="Times New Roman"/>
          <w:szCs w:val="20"/>
          <w:u w:val="single"/>
        </w:rPr>
        <w:tab/>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500B6F">
        <w:rPr>
          <w:rFonts w:cs="Times New Roman"/>
        </w:rPr>
        <w:t>Introduced and read first time (</w:t>
      </w:r>
      <w:hyperlink r:id="rId7" w:history="1">
        <w:r w:rsidRPr="0016382C">
          <w:rPr>
            <w:rStyle w:val="Hyperlink"/>
            <w:rFonts w:cs="Times New Roman"/>
          </w:rPr>
          <w:t>House Journal</w:t>
        </w:r>
        <w:r w:rsidRPr="0016382C">
          <w:rPr>
            <w:rStyle w:val="Hyperlink"/>
            <w:rFonts w:cs="Times New Roman"/>
          </w:rPr>
          <w:noBreakHyphen/>
          <w:t>page 10</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500B6F">
        <w:rPr>
          <w:rFonts w:cs="Times New Roman"/>
        </w:rPr>
        <w:t>Referred to Co</w:t>
      </w:r>
      <w:r>
        <w:rPr>
          <w:rFonts w:cs="Times New Roman"/>
        </w:rPr>
        <w:t xml:space="preserve">mmittee on </w:t>
      </w:r>
      <w:r w:rsidRPr="00500B6F">
        <w:rPr>
          <w:rFonts w:cs="Times New Roman"/>
          <w:b/>
        </w:rPr>
        <w:t>Education and Public Works</w:t>
      </w:r>
      <w:r w:rsidRPr="00500B6F">
        <w:rPr>
          <w:rFonts w:cs="Times New Roman"/>
        </w:rPr>
        <w:t xml:space="preserve"> (</w:t>
      </w:r>
      <w:hyperlink r:id="rId8" w:history="1">
        <w:r w:rsidRPr="0016382C">
          <w:rPr>
            <w:rStyle w:val="Hyperlink"/>
            <w:rFonts w:cs="Times New Roman"/>
          </w:rPr>
          <w:t>House Journal</w:t>
        </w:r>
        <w:r w:rsidRPr="0016382C">
          <w:rPr>
            <w:rStyle w:val="Hyperlink"/>
            <w:rFonts w:cs="Times New Roman"/>
          </w:rPr>
          <w:noBreakHyphen/>
          <w:t>page 10</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00B6F">
        <w:rPr>
          <w:rFonts w:cs="Times New Roman"/>
        </w:rPr>
        <w:t>Member(s) request name added as sponsor: Felder</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500B6F">
        <w:rPr>
          <w:rFonts w:cs="Times New Roman"/>
        </w:rPr>
        <w:t>Committee report:</w:t>
      </w:r>
      <w:r>
        <w:rPr>
          <w:rFonts w:cs="Times New Roman"/>
        </w:rPr>
        <w:t xml:space="preserve"> Favorable </w:t>
      </w:r>
      <w:r w:rsidRPr="00500B6F">
        <w:rPr>
          <w:rFonts w:cs="Times New Roman"/>
          <w:b/>
        </w:rPr>
        <w:t>Education and Public Works</w:t>
      </w:r>
      <w:r w:rsidRPr="00500B6F">
        <w:rPr>
          <w:rFonts w:cs="Times New Roman"/>
        </w:rPr>
        <w:t xml:space="preserve"> (</w:t>
      </w:r>
      <w:hyperlink r:id="rId9" w:history="1">
        <w:r w:rsidRPr="0016382C">
          <w:rPr>
            <w:rStyle w:val="Hyperlink"/>
            <w:rFonts w:cs="Times New Roman"/>
          </w:rPr>
          <w:t>House Journal</w:t>
        </w:r>
        <w:r w:rsidRPr="0016382C">
          <w:rPr>
            <w:rStyle w:val="Hyperlink"/>
            <w:rFonts w:cs="Times New Roman"/>
          </w:rPr>
          <w:noBreakHyphen/>
          <w:t>page 214</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500B6F">
        <w:rPr>
          <w:rFonts w:cs="Times New Roman"/>
        </w:rPr>
        <w:t>Scrivener's error corrected</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500B6F">
        <w:rPr>
          <w:rFonts w:cs="Times New Roman"/>
        </w:rPr>
        <w:t>Read second time (</w:t>
      </w:r>
      <w:hyperlink r:id="rId10" w:history="1">
        <w:r w:rsidRPr="0016382C">
          <w:rPr>
            <w:rStyle w:val="Hyperlink"/>
            <w:rFonts w:cs="Times New Roman"/>
          </w:rPr>
          <w:t>House Journal</w:t>
        </w:r>
        <w:r w:rsidRPr="0016382C">
          <w:rPr>
            <w:rStyle w:val="Hyperlink"/>
            <w:rFonts w:cs="Times New Roman"/>
          </w:rPr>
          <w:noBreakHyphen/>
          <w:t>page 13</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500B6F">
        <w:rPr>
          <w:rFonts w:cs="Times New Roman"/>
        </w:rPr>
        <w:t>Roll call Yeas</w:t>
      </w:r>
      <w:r>
        <w:rPr>
          <w:rFonts w:cs="Times New Roman"/>
        </w:rPr>
        <w:noBreakHyphen/>
      </w:r>
      <w:r w:rsidRPr="00500B6F">
        <w:rPr>
          <w:rFonts w:cs="Times New Roman"/>
        </w:rPr>
        <w:t>89  Nays</w:t>
      </w:r>
      <w:r>
        <w:rPr>
          <w:rFonts w:cs="Times New Roman"/>
        </w:rPr>
        <w:noBreakHyphen/>
      </w:r>
      <w:r w:rsidRPr="00500B6F">
        <w:rPr>
          <w:rFonts w:cs="Times New Roman"/>
        </w:rPr>
        <w:t>0 (</w:t>
      </w:r>
      <w:hyperlink r:id="rId11" w:history="1">
        <w:r w:rsidRPr="0016382C">
          <w:rPr>
            <w:rStyle w:val="Hyperlink"/>
            <w:rFonts w:cs="Times New Roman"/>
          </w:rPr>
          <w:t>House Journal</w:t>
        </w:r>
        <w:r w:rsidRPr="0016382C">
          <w:rPr>
            <w:rStyle w:val="Hyperlink"/>
            <w:rFonts w:cs="Times New Roman"/>
          </w:rPr>
          <w:noBreakHyphen/>
          <w:t>page 13</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500B6F">
        <w:rPr>
          <w:rFonts w:cs="Times New Roman"/>
        </w:rPr>
        <w:t>Rea</w:t>
      </w:r>
      <w:r>
        <w:rPr>
          <w:rFonts w:cs="Times New Roman"/>
        </w:rPr>
        <w:t xml:space="preserve">d third time and sent to Senate </w:t>
      </w:r>
      <w:r w:rsidRPr="00500B6F">
        <w:rPr>
          <w:rFonts w:cs="Times New Roman"/>
        </w:rPr>
        <w:t>(</w:t>
      </w:r>
      <w:hyperlink r:id="rId12" w:history="1">
        <w:r w:rsidRPr="0016382C">
          <w:rPr>
            <w:rStyle w:val="Hyperlink"/>
            <w:rFonts w:cs="Times New Roman"/>
          </w:rPr>
          <w:t>House Journal</w:t>
        </w:r>
        <w:r w:rsidRPr="0016382C">
          <w:rPr>
            <w:rStyle w:val="Hyperlink"/>
            <w:rFonts w:cs="Times New Roman"/>
          </w:rPr>
          <w:noBreakHyphen/>
          <w:t>page 13</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500B6F">
        <w:rPr>
          <w:rFonts w:cs="Times New Roman"/>
        </w:rPr>
        <w:t>Introduced and read first time (</w:t>
      </w:r>
      <w:hyperlink r:id="rId13" w:history="1">
        <w:r w:rsidRPr="0016382C">
          <w:rPr>
            <w:rStyle w:val="Hyperlink"/>
            <w:rFonts w:cs="Times New Roman"/>
          </w:rPr>
          <w:t>Senate Journal</w:t>
        </w:r>
        <w:r w:rsidRPr="0016382C">
          <w:rPr>
            <w:rStyle w:val="Hyperlink"/>
            <w:rFonts w:cs="Times New Roman"/>
          </w:rPr>
          <w:noBreakHyphen/>
          <w:t>page 14</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500B6F">
        <w:rPr>
          <w:rFonts w:cs="Times New Roman"/>
        </w:rPr>
        <w:t>Ref</w:t>
      </w:r>
      <w:r>
        <w:rPr>
          <w:rFonts w:cs="Times New Roman"/>
        </w:rPr>
        <w:t xml:space="preserve">erred to Committee on </w:t>
      </w:r>
      <w:r w:rsidRPr="00500B6F">
        <w:rPr>
          <w:rFonts w:cs="Times New Roman"/>
          <w:b/>
        </w:rPr>
        <w:t>Education</w:t>
      </w:r>
      <w:r>
        <w:rPr>
          <w:rFonts w:cs="Times New Roman"/>
        </w:rPr>
        <w:t xml:space="preserve"> </w:t>
      </w:r>
      <w:r w:rsidRPr="00500B6F">
        <w:rPr>
          <w:rFonts w:cs="Times New Roman"/>
        </w:rPr>
        <w:t>(</w:t>
      </w:r>
      <w:hyperlink r:id="rId14" w:history="1">
        <w:r w:rsidRPr="0016382C">
          <w:rPr>
            <w:rStyle w:val="Hyperlink"/>
            <w:rFonts w:cs="Times New Roman"/>
          </w:rPr>
          <w:t>Senate Journal</w:t>
        </w:r>
        <w:r w:rsidRPr="0016382C">
          <w:rPr>
            <w:rStyle w:val="Hyperlink"/>
            <w:rFonts w:cs="Times New Roman"/>
          </w:rPr>
          <w:noBreakHyphen/>
          <w:t>page 14</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500B6F">
        <w:rPr>
          <w:rFonts w:cs="Times New Roman"/>
        </w:rPr>
        <w:t>Committee r</w:t>
      </w:r>
      <w:r>
        <w:rPr>
          <w:rFonts w:cs="Times New Roman"/>
        </w:rPr>
        <w:t xml:space="preserve">eport: Favorable with amendment </w:t>
      </w:r>
      <w:r w:rsidRPr="00500B6F">
        <w:rPr>
          <w:rFonts w:cs="Times New Roman"/>
          <w:b/>
        </w:rPr>
        <w:t>Education</w:t>
      </w:r>
      <w:r w:rsidRPr="00500B6F">
        <w:rPr>
          <w:rFonts w:cs="Times New Roman"/>
        </w:rPr>
        <w:t xml:space="preserve"> (</w:t>
      </w:r>
      <w:hyperlink r:id="rId15" w:history="1">
        <w:r w:rsidRPr="0016382C">
          <w:rPr>
            <w:rStyle w:val="Hyperlink"/>
            <w:rFonts w:cs="Times New Roman"/>
          </w:rPr>
          <w:t>Senate Journal</w:t>
        </w:r>
        <w:r w:rsidRPr="0016382C">
          <w:rPr>
            <w:rStyle w:val="Hyperlink"/>
            <w:rFonts w:cs="Times New Roman"/>
          </w:rPr>
          <w:noBreakHyphen/>
          <w:t>page 7</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500B6F">
        <w:rPr>
          <w:rFonts w:cs="Times New Roman"/>
        </w:rPr>
        <w:t>Scrivener's error corrected</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00B6F">
        <w:rPr>
          <w:rFonts w:cs="Times New Roman"/>
        </w:rPr>
        <w:t>Committee Amendment Adopted (</w:t>
      </w:r>
      <w:hyperlink r:id="rId16" w:history="1">
        <w:r w:rsidRPr="0016382C">
          <w:rPr>
            <w:rStyle w:val="Hyperlink"/>
            <w:rFonts w:cs="Times New Roman"/>
          </w:rPr>
          <w:t>Senate Journal</w:t>
        </w:r>
        <w:r w:rsidRPr="0016382C">
          <w:rPr>
            <w:rStyle w:val="Hyperlink"/>
            <w:rFonts w:cs="Times New Roman"/>
          </w:rPr>
          <w:noBreakHyphen/>
          <w:t>page 62</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00B6F">
        <w:rPr>
          <w:rFonts w:cs="Times New Roman"/>
        </w:rPr>
        <w:t>Read second time (</w:t>
      </w:r>
      <w:hyperlink r:id="rId17" w:history="1">
        <w:r w:rsidRPr="0016382C">
          <w:rPr>
            <w:rStyle w:val="Hyperlink"/>
            <w:rFonts w:cs="Times New Roman"/>
          </w:rPr>
          <w:t>Senate Journal</w:t>
        </w:r>
        <w:r w:rsidRPr="0016382C">
          <w:rPr>
            <w:rStyle w:val="Hyperlink"/>
            <w:rFonts w:cs="Times New Roman"/>
          </w:rPr>
          <w:noBreakHyphen/>
          <w:t>page 62</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00B6F">
        <w:rPr>
          <w:rFonts w:cs="Times New Roman"/>
        </w:rPr>
        <w:t>Roll call Ayes</w:t>
      </w:r>
      <w:r>
        <w:rPr>
          <w:rFonts w:cs="Times New Roman"/>
        </w:rPr>
        <w:noBreakHyphen/>
      </w:r>
      <w:r w:rsidRPr="00500B6F">
        <w:rPr>
          <w:rFonts w:cs="Times New Roman"/>
        </w:rPr>
        <w:t>45  Nays</w:t>
      </w:r>
      <w:r>
        <w:rPr>
          <w:rFonts w:cs="Times New Roman"/>
        </w:rPr>
        <w:noBreakHyphen/>
      </w:r>
      <w:r w:rsidRPr="00500B6F">
        <w:rPr>
          <w:rFonts w:cs="Times New Roman"/>
        </w:rPr>
        <w:t>0 (</w:t>
      </w:r>
      <w:hyperlink r:id="rId18" w:history="1">
        <w:r w:rsidRPr="0016382C">
          <w:rPr>
            <w:rStyle w:val="Hyperlink"/>
            <w:rFonts w:cs="Times New Roman"/>
          </w:rPr>
          <w:t>Senate Journal</w:t>
        </w:r>
        <w:r w:rsidRPr="0016382C">
          <w:rPr>
            <w:rStyle w:val="Hyperlink"/>
            <w:rFonts w:cs="Times New Roman"/>
          </w:rPr>
          <w:noBreakHyphen/>
          <w:t>page 62</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500B6F">
        <w:rPr>
          <w:rFonts w:cs="Times New Roman"/>
        </w:rPr>
        <w:t xml:space="preserve">Read third </w:t>
      </w:r>
      <w:r>
        <w:rPr>
          <w:rFonts w:cs="Times New Roman"/>
        </w:rPr>
        <w:t xml:space="preserve">time and returned to House with </w:t>
      </w:r>
      <w:r w:rsidRPr="00500B6F">
        <w:rPr>
          <w:rFonts w:cs="Times New Roman"/>
        </w:rPr>
        <w:t>amendments (</w:t>
      </w:r>
      <w:hyperlink r:id="rId19" w:history="1">
        <w:r w:rsidRPr="0016382C">
          <w:rPr>
            <w:rStyle w:val="Hyperlink"/>
            <w:rFonts w:cs="Times New Roman"/>
          </w:rPr>
          <w:t>Senate Journal</w:t>
        </w:r>
        <w:r w:rsidRPr="0016382C">
          <w:rPr>
            <w:rStyle w:val="Hyperlink"/>
            <w:rFonts w:cs="Times New Roman"/>
          </w:rPr>
          <w:noBreakHyphen/>
          <w:t>page 38</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00B6F">
        <w:rPr>
          <w:rFonts w:cs="Times New Roman"/>
        </w:rPr>
        <w:t>Concurred i</w:t>
      </w:r>
      <w:r>
        <w:rPr>
          <w:rFonts w:cs="Times New Roman"/>
        </w:rPr>
        <w:t xml:space="preserve">n Senate amendment and enrolled </w:t>
      </w:r>
      <w:r w:rsidRPr="00500B6F">
        <w:rPr>
          <w:rFonts w:cs="Times New Roman"/>
        </w:rPr>
        <w:t>(</w:t>
      </w:r>
      <w:hyperlink r:id="rId20" w:history="1">
        <w:r w:rsidRPr="0016382C">
          <w:rPr>
            <w:rStyle w:val="Hyperlink"/>
            <w:rFonts w:cs="Times New Roman"/>
          </w:rPr>
          <w:t>House Journal</w:t>
        </w:r>
        <w:r w:rsidRPr="0016382C">
          <w:rPr>
            <w:rStyle w:val="Hyperlink"/>
            <w:rFonts w:cs="Times New Roman"/>
          </w:rPr>
          <w:noBreakHyphen/>
          <w:t>page 27</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00B6F">
        <w:rPr>
          <w:rFonts w:cs="Times New Roman"/>
        </w:rPr>
        <w:t>Roll call Yeas</w:t>
      </w:r>
      <w:r>
        <w:rPr>
          <w:rFonts w:cs="Times New Roman"/>
        </w:rPr>
        <w:noBreakHyphen/>
      </w:r>
      <w:r w:rsidRPr="00500B6F">
        <w:rPr>
          <w:rFonts w:cs="Times New Roman"/>
        </w:rPr>
        <w:t>102  Nays</w:t>
      </w:r>
      <w:r>
        <w:rPr>
          <w:rFonts w:cs="Times New Roman"/>
        </w:rPr>
        <w:noBreakHyphen/>
      </w:r>
      <w:r w:rsidRPr="00500B6F">
        <w:rPr>
          <w:rFonts w:cs="Times New Roman"/>
        </w:rPr>
        <w:t>0 (</w:t>
      </w:r>
      <w:hyperlink r:id="rId21" w:history="1">
        <w:r w:rsidRPr="0016382C">
          <w:rPr>
            <w:rStyle w:val="Hyperlink"/>
            <w:rFonts w:cs="Times New Roman"/>
          </w:rPr>
          <w:t>House Journal</w:t>
        </w:r>
        <w:r w:rsidRPr="0016382C">
          <w:rPr>
            <w:rStyle w:val="Hyperlink"/>
            <w:rFonts w:cs="Times New Roman"/>
          </w:rPr>
          <w:noBreakHyphen/>
          <w:t>page 27</w:t>
        </w:r>
      </w:hyperlink>
      <w:r w:rsidRPr="00500B6F">
        <w:rPr>
          <w:rFonts w:cs="Times New Roman"/>
        </w:rPr>
        <w:t>)</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500B6F">
        <w:rPr>
          <w:rFonts w:cs="Times New Roman"/>
        </w:rPr>
        <w:t>Ratified R 278</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6/5/2016</w:t>
      </w:r>
      <w:r>
        <w:rPr>
          <w:rFonts w:cs="Times New Roman"/>
        </w:rPr>
        <w:tab/>
      </w:r>
      <w:r>
        <w:rPr>
          <w:rFonts w:cs="Times New Roman"/>
        </w:rPr>
        <w:tab/>
      </w:r>
      <w:r w:rsidRPr="00500B6F">
        <w:rPr>
          <w:rFonts w:cs="Times New Roman"/>
        </w:rPr>
        <w:t>Signed By Governor</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500B6F">
        <w:rPr>
          <w:rFonts w:cs="Times New Roman"/>
        </w:rPr>
        <w:t>Effective date 06/05/16</w:t>
      </w:r>
    </w:p>
    <w:p w:rsidR="009D1B7D" w:rsidRDefault="009D1B7D" w:rsidP="009D1B7D">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500B6F">
        <w:rPr>
          <w:rFonts w:cs="Times New Roman"/>
        </w:rPr>
        <w:t>Act No</w:t>
      </w:r>
      <w:r>
        <w:rPr>
          <w:rFonts w:cs="Times New Roman"/>
        </w:rPr>
        <w:t>. </w:t>
      </w:r>
      <w:r w:rsidRPr="00500B6F">
        <w:rPr>
          <w:rFonts w:cs="Times New Roman"/>
        </w:rPr>
        <w:t>242</w:t>
      </w:r>
    </w:p>
    <w:p w:rsidR="009D1B7D" w:rsidRDefault="009D1B7D" w:rsidP="009D1B7D">
      <w:pPr>
        <w:widowControl w:val="0"/>
        <w:tabs>
          <w:tab w:val="right" w:pos="1008"/>
          <w:tab w:val="left" w:pos="1152"/>
          <w:tab w:val="left" w:pos="1872"/>
          <w:tab w:val="left" w:pos="9187"/>
        </w:tabs>
        <w:ind w:left="2088" w:hanging="2088"/>
        <w:rPr>
          <w:rFonts w:cs="Times New Roman"/>
        </w:rPr>
      </w:pPr>
    </w:p>
    <w:p w:rsidR="00C853F7" w:rsidRPr="00C853F7" w:rsidRDefault="00C853F7" w:rsidP="00C853F7">
      <w:pPr>
        <w:widowControl w:val="0"/>
        <w:tabs>
          <w:tab w:val="right" w:pos="1008"/>
          <w:tab w:val="left" w:pos="1152"/>
          <w:tab w:val="left" w:pos="1872"/>
          <w:tab w:val="left" w:pos="9187"/>
        </w:tabs>
        <w:ind w:left="2088" w:hanging="2088"/>
        <w:rPr>
          <w:rFonts w:eastAsia="Times New Roman" w:cs="Times New Roman"/>
          <w:szCs w:val="20"/>
        </w:rPr>
      </w:pPr>
      <w:r w:rsidRPr="00C853F7">
        <w:rPr>
          <w:rFonts w:eastAsia="Times New Roman" w:cs="Times New Roman"/>
          <w:szCs w:val="20"/>
        </w:rPr>
        <w:t xml:space="preserve">View the latest </w:t>
      </w:r>
      <w:hyperlink r:id="rId22" w:history="1">
        <w:r w:rsidRPr="00C853F7">
          <w:rPr>
            <w:rFonts w:eastAsia="Times New Roman" w:cs="Times New Roman"/>
            <w:color w:val="0000FF" w:themeColor="hyperlink"/>
            <w:szCs w:val="20"/>
            <w:u w:val="single"/>
          </w:rPr>
          <w:t>legislative information</w:t>
        </w:r>
      </w:hyperlink>
      <w:r w:rsidRPr="00C853F7">
        <w:rPr>
          <w:rFonts w:eastAsia="Times New Roman" w:cs="Times New Roman"/>
          <w:szCs w:val="20"/>
        </w:rPr>
        <w:t xml:space="preserve"> at the website</w:t>
      </w:r>
    </w:p>
    <w:p w:rsidR="00C853F7" w:rsidRPr="00C853F7" w:rsidRDefault="00C853F7" w:rsidP="00C853F7">
      <w:pPr>
        <w:widowControl w:val="0"/>
        <w:tabs>
          <w:tab w:val="right" w:pos="1008"/>
          <w:tab w:val="left" w:pos="1152"/>
          <w:tab w:val="left" w:pos="1872"/>
          <w:tab w:val="left" w:pos="9187"/>
        </w:tabs>
        <w:ind w:left="2088" w:hanging="2088"/>
        <w:rPr>
          <w:rFonts w:eastAsia="Times New Roman" w:cs="Times New Roman"/>
          <w:szCs w:val="20"/>
        </w:rPr>
      </w:pPr>
    </w:p>
    <w:p w:rsidR="00C853F7" w:rsidRPr="00C853F7" w:rsidRDefault="00C853F7" w:rsidP="00C853F7">
      <w:pPr>
        <w:widowControl w:val="0"/>
        <w:tabs>
          <w:tab w:val="right" w:pos="1008"/>
          <w:tab w:val="left" w:pos="1152"/>
          <w:tab w:val="left" w:pos="1872"/>
          <w:tab w:val="left" w:pos="9187"/>
        </w:tabs>
        <w:ind w:left="2088" w:hanging="2088"/>
        <w:rPr>
          <w:rFonts w:eastAsia="Times New Roman" w:cs="Times New Roman"/>
          <w:szCs w:val="20"/>
        </w:rPr>
      </w:pP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53F7">
        <w:rPr>
          <w:rFonts w:eastAsia="Times New Roman" w:cs="Times New Roman"/>
          <w:b/>
          <w:szCs w:val="20"/>
        </w:rPr>
        <w:t>VERSIONS OF THIS BILL</w:t>
      </w:r>
    </w:p>
    <w:p w:rsidR="00C853F7" w:rsidRPr="00C853F7" w:rsidRDefault="00C853F7"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53F7" w:rsidRPr="00C853F7" w:rsidRDefault="0016382C" w:rsidP="00C853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C853F7" w:rsidRPr="00C853F7">
          <w:rPr>
            <w:rFonts w:eastAsia="Times New Roman" w:cs="Times New Roman"/>
            <w:color w:val="0000FF" w:themeColor="hyperlink"/>
            <w:szCs w:val="20"/>
            <w:u w:val="single"/>
          </w:rPr>
          <w:t>3/2/2016</w:t>
        </w:r>
      </w:hyperlink>
    </w:p>
    <w:p w:rsidR="00C853F7" w:rsidRPr="00C853F7" w:rsidRDefault="0016382C"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853F7" w:rsidRPr="00C853F7">
          <w:rPr>
            <w:rFonts w:eastAsia="Times New Roman" w:cs="Times New Roman"/>
            <w:color w:val="0000FF" w:themeColor="hyperlink"/>
            <w:szCs w:val="20"/>
            <w:u w:val="single"/>
          </w:rPr>
          <w:t>4/20/2016</w:t>
        </w:r>
      </w:hyperlink>
    </w:p>
    <w:p w:rsidR="00C853F7" w:rsidRPr="00C853F7" w:rsidRDefault="0016382C"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853F7" w:rsidRPr="00C853F7">
          <w:rPr>
            <w:rFonts w:eastAsia="Times New Roman" w:cs="Times New Roman"/>
            <w:color w:val="0000FF" w:themeColor="hyperlink"/>
            <w:szCs w:val="20"/>
            <w:u w:val="single"/>
          </w:rPr>
          <w:t>4/21/2016</w:t>
        </w:r>
      </w:hyperlink>
    </w:p>
    <w:p w:rsidR="00C853F7" w:rsidRPr="00C853F7" w:rsidRDefault="0016382C"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853F7" w:rsidRPr="00C853F7">
          <w:rPr>
            <w:rFonts w:eastAsia="Times New Roman" w:cs="Times New Roman"/>
            <w:color w:val="0000FF" w:themeColor="hyperlink"/>
            <w:szCs w:val="20"/>
            <w:u w:val="single"/>
          </w:rPr>
          <w:t>5/25/2016</w:t>
        </w:r>
      </w:hyperlink>
    </w:p>
    <w:p w:rsidR="00C853F7" w:rsidRPr="00C853F7" w:rsidRDefault="0016382C"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853F7" w:rsidRPr="00C853F7">
          <w:rPr>
            <w:rFonts w:eastAsia="Times New Roman" w:cs="Times New Roman"/>
            <w:color w:val="0000FF" w:themeColor="hyperlink"/>
            <w:szCs w:val="20"/>
            <w:u w:val="single"/>
          </w:rPr>
          <w:t>5/26/2016</w:t>
        </w:r>
      </w:hyperlink>
    </w:p>
    <w:p w:rsidR="00C853F7" w:rsidRPr="00C853F7" w:rsidRDefault="0016382C"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853F7" w:rsidRPr="00C853F7">
          <w:rPr>
            <w:rFonts w:eastAsia="Times New Roman" w:cs="Times New Roman"/>
            <w:color w:val="0000FF" w:themeColor="hyperlink"/>
            <w:szCs w:val="20"/>
            <w:u w:val="single"/>
          </w:rPr>
          <w:t>5/31/2016</w:t>
        </w:r>
      </w:hyperlink>
    </w:p>
    <w:p w:rsidR="00C853F7" w:rsidRPr="00C853F7" w:rsidRDefault="00C853F7"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853F7" w:rsidRDefault="00C853F7" w:rsidP="00C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53F7" w:rsidSect="00C853F7">
          <w:pgSz w:w="12240" w:h="15840" w:code="1"/>
          <w:pgMar w:top="1080" w:right="1440" w:bottom="1080" w:left="1440" w:header="720" w:footer="720" w:gutter="0"/>
          <w:pgNumType w:start="1"/>
          <w:cols w:space="720"/>
          <w:noEndnote/>
          <w:docGrid w:linePitch="360"/>
        </w:sectPr>
      </w:pP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(A242, R278, H5021)</w:t>
      </w:r>
    </w:p>
    <w:p w:rsidR="006F3CFC" w:rsidRPr="008836A5"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3CFC" w:rsidRPr="00C853F7"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853F7">
        <w:rPr>
          <w:rFonts w:cs="Times New Roman"/>
          <w:b/>
          <w:color w:val="000000" w:themeColor="text1"/>
          <w:szCs w:val="36"/>
        </w:rPr>
        <w:t xml:space="preserve">AN ACT </w:t>
      </w:r>
      <w:r w:rsidRPr="00C853F7">
        <w:rPr>
          <w:rFonts w:cs="Times New Roman"/>
          <w:b/>
        </w:rPr>
        <w:t>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Be it enacted by the General Assembly of the State of South Carolina:</w:t>
      </w: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AB61BA" w:rsidRDefault="006F3CFC" w:rsidP="006F3CFC">
      <w:pPr>
        <w:tabs>
          <w:tab w:val="center" w:pos="2880"/>
          <w:tab w:val="right" w:pos="6206"/>
        </w:tabs>
        <w:jc w:val="both"/>
        <w:rPr>
          <w:b/>
          <w:color w:val="000000" w:themeColor="text1"/>
        </w:rPr>
      </w:pPr>
      <w:r w:rsidRPr="00AB61BA">
        <w:rPr>
          <w:b/>
          <w:color w:val="000000" w:themeColor="text1"/>
        </w:rPr>
        <w:t>Adult Students with Disabilities Education Rights Consent Act</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SECTION</w:t>
      </w:r>
      <w:r w:rsidRPr="003F3978">
        <w:rPr>
          <w:rFonts w:cs="Times New Roman"/>
        </w:rPr>
        <w:tab/>
        <w:t>1.</w:t>
      </w:r>
      <w:r w:rsidRPr="003F3978">
        <w:rPr>
          <w:rFonts w:cs="Times New Roman"/>
        </w:rPr>
        <w:tab/>
        <w:t xml:space="preserve">Chapter </w:t>
      </w:r>
      <w:r>
        <w:rPr>
          <w:rFonts w:cs="Times New Roman"/>
        </w:rPr>
        <w:t xml:space="preserve">33, Title </w:t>
      </w:r>
      <w:r w:rsidRPr="003F3978">
        <w:rPr>
          <w:rFonts w:cs="Times New Roman"/>
        </w:rPr>
        <w:t>59 of the 1976 Code is amended by adding:</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3978">
        <w:rPr>
          <w:rFonts w:cs="Times New Roman"/>
        </w:rPr>
        <w:t>“Article 3</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3978">
        <w:rPr>
          <w:rFonts w:cs="Times New Roman"/>
        </w:rPr>
        <w:t>Adult Students with Disabilities Educational Rights Consent Act</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310.</w:t>
      </w:r>
      <w:r w:rsidRPr="003F3978">
        <w:rPr>
          <w:rFonts w:cs="Times New Roman"/>
        </w:rPr>
        <w:tab/>
        <w:t xml:space="preserve">This chapter may be cited as the </w:t>
      </w:r>
      <w:r w:rsidRPr="00250FE2">
        <w:rPr>
          <w:rFonts w:cs="Times New Roman"/>
        </w:rPr>
        <w:t>‘</w:t>
      </w:r>
      <w:r w:rsidRPr="003F3978">
        <w:rPr>
          <w:rFonts w:cs="Times New Roman"/>
        </w:rPr>
        <w:t>Adult Students with Disabilities Educational Rights Consent Act</w:t>
      </w:r>
      <w:r w:rsidRPr="00250FE2">
        <w:rPr>
          <w:rFonts w:cs="Times New Roman"/>
        </w:rPr>
        <w:t>’</w:t>
      </w:r>
      <w:r w:rsidRPr="003F3978">
        <w:rPr>
          <w:rFonts w:cs="Times New Roman"/>
        </w:rPr>
        <w:t>.</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320.</w:t>
      </w:r>
      <w:r w:rsidRPr="003F3978">
        <w:rPr>
          <w:rFonts w:cs="Times New Roman"/>
        </w:rPr>
        <w:tab/>
        <w:t xml:space="preserve">When a student who is eligible for special education under the Individuals with Disabilities Education Act </w:t>
      </w:r>
      <w:r w:rsidRPr="00250FE2">
        <w:rPr>
          <w:rFonts w:cs="Times New Roman"/>
        </w:rPr>
        <w:t>‘</w:t>
      </w:r>
      <w:r w:rsidRPr="003F3978">
        <w:rPr>
          <w:rFonts w:cs="Times New Roman"/>
        </w:rPr>
        <w:t>IDEA</w:t>
      </w:r>
      <w:r w:rsidRPr="00250FE2">
        <w:rPr>
          <w:rFonts w:cs="Times New Roman"/>
        </w:rPr>
        <w:t>’</w:t>
      </w:r>
      <w:r w:rsidRPr="003F3978">
        <w:rPr>
          <w:rFonts w:cs="Times New Roman"/>
        </w:rPr>
        <w:t>, 20 U.S.C. Section 1411</w:t>
      </w:r>
      <w:r>
        <w:rPr>
          <w:rFonts w:cs="Times New Roman"/>
        </w:rPr>
        <w:t>,</w:t>
      </w:r>
      <w:r w:rsidRPr="003F3978">
        <w:rPr>
          <w:rFonts w:cs="Times New Roman"/>
        </w:rPr>
        <w:t xml:space="preserve"> et seq., reaches age eighteen or is emancipated by a court of competent jurisdiction, all rights accorded to the student</w:t>
      </w:r>
      <w:r w:rsidRPr="00250FE2">
        <w:rPr>
          <w:rFonts w:cs="Times New Roman"/>
        </w:rPr>
        <w:t>’</w:t>
      </w:r>
      <w:r w:rsidRPr="003F3978">
        <w:rPr>
          <w:rFonts w:cs="Times New Roman"/>
        </w:rPr>
        <w:t>s parents under this article transfer to the student except as provided in Sections 59</w:t>
      </w:r>
      <w:r>
        <w:rPr>
          <w:rFonts w:cs="Times New Roman"/>
        </w:rPr>
        <w:noBreakHyphen/>
      </w:r>
      <w:r w:rsidRPr="003F3978">
        <w:rPr>
          <w:rFonts w:cs="Times New Roman"/>
        </w:rPr>
        <w:t>33</w:t>
      </w:r>
      <w:r>
        <w:rPr>
          <w:rFonts w:cs="Times New Roman"/>
        </w:rPr>
        <w:noBreakHyphen/>
      </w:r>
      <w:r w:rsidRPr="003F3978">
        <w:rPr>
          <w:rFonts w:cs="Times New Roman"/>
        </w:rPr>
        <w:t>330 and 59</w:t>
      </w:r>
      <w:r>
        <w:rPr>
          <w:rFonts w:cs="Times New Roman"/>
        </w:rPr>
        <w:noBreakHyphen/>
      </w:r>
      <w:r w:rsidRPr="003F3978">
        <w:rPr>
          <w:rFonts w:cs="Times New Roman"/>
        </w:rPr>
        <w:t>33</w:t>
      </w:r>
      <w:r>
        <w:rPr>
          <w:rFonts w:cs="Times New Roman"/>
        </w:rPr>
        <w:noBreakHyphen/>
      </w:r>
      <w:r w:rsidRPr="003F3978">
        <w:rPr>
          <w:rFonts w:cs="Times New Roman"/>
        </w:rPr>
        <w:t>340. Nothing in this article may be construed to deny an adult student eligible for special education the right to have an adult of his choice support the student in making decisions regarding the student</w:t>
      </w:r>
      <w:r w:rsidRPr="00250FE2">
        <w:rPr>
          <w:rFonts w:cs="Times New Roman"/>
        </w:rPr>
        <w:t>’</w:t>
      </w:r>
      <w:r w:rsidRPr="003F3978">
        <w:rPr>
          <w:rFonts w:cs="Times New Roman"/>
        </w:rPr>
        <w:t xml:space="preserve">s individualized education program. </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330.</w:t>
      </w:r>
      <w:r w:rsidRPr="003F3978">
        <w:rPr>
          <w:rFonts w:cs="Times New Roman"/>
        </w:rPr>
        <w:tab/>
        <w:t xml:space="preserve">An adult student who is eligible for special education, who has not been determined to be incapacitated pursuant to </w:t>
      </w:r>
      <w:r>
        <w:rPr>
          <w:rFonts w:cs="Times New Roman"/>
        </w:rPr>
        <w:t>Article 5, Title 62</w:t>
      </w:r>
      <w:r w:rsidRPr="003F3978">
        <w:rPr>
          <w:rFonts w:cs="Times New Roman"/>
        </w:rPr>
        <w:t xml:space="preserve">, may delegate his right to make educational decisions to another adult. An adult student may delegate educational rights by naming an agent through a duly executed power of attorney or by using a form that the State Department of Education shall develop and provide. </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340.</w:t>
      </w:r>
      <w:r w:rsidRPr="003F3978">
        <w:rPr>
          <w:rFonts w:cs="Times New Roman"/>
        </w:rPr>
        <w:tab/>
        <w:t xml:space="preserve">An adult student who is eligible for special education and has not been determined to be incapacitated pursuant to </w:t>
      </w:r>
      <w:r>
        <w:rPr>
          <w:rFonts w:cs="Times New Roman"/>
        </w:rPr>
        <w:t>Article 5, Title 62</w:t>
      </w:r>
      <w:r w:rsidRPr="003F3978">
        <w:rPr>
          <w:rFonts w:cs="Times New Roman"/>
        </w:rPr>
        <w:t>, may be identified as incapable of communicating, with or without reasonable accommodations, his wishes, interests, or preferences with respect to his educational program as early as sixty calendar days before his eighteenth birthday or sixty</w:t>
      </w:r>
      <w:r>
        <w:rPr>
          <w:rFonts w:cs="Times New Roman"/>
        </w:rPr>
        <w:noBreakHyphen/>
      </w:r>
      <w:r w:rsidRPr="003F3978">
        <w:rPr>
          <w:rFonts w:cs="Times New Roman"/>
        </w:rPr>
        <w:t>five business days before an eligibility meeting, if he is undergoing initial eligibility for special education services, and also may have an educational representative designated pursuant to the following procedures:</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(1)(a)</w:t>
      </w:r>
      <w:r w:rsidRPr="003F3978">
        <w:rPr>
          <w:rFonts w:cs="Times New Roman"/>
        </w:rPr>
        <w:tab/>
        <w:t>The student</w:t>
      </w:r>
      <w:r w:rsidRPr="00250FE2">
        <w:rPr>
          <w:rFonts w:cs="Times New Roman"/>
        </w:rPr>
        <w:t>’</w:t>
      </w:r>
      <w:r w:rsidRPr="003F3978">
        <w:rPr>
          <w:rFonts w:cs="Times New Roman"/>
        </w:rPr>
        <w:t>s physician, nurse practitioner, physician</w:t>
      </w:r>
      <w:r w:rsidRPr="00250FE2">
        <w:rPr>
          <w:rFonts w:cs="Times New Roman"/>
        </w:rPr>
        <w:t>’</w:t>
      </w:r>
      <w:r w:rsidRPr="003F3978">
        <w:rPr>
          <w:rFonts w:cs="Times New Roman"/>
        </w:rPr>
        <w:t>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w:t>
      </w:r>
      <w:r w:rsidRPr="00250FE2">
        <w:rPr>
          <w:rFonts w:cs="Times New Roman"/>
        </w:rPr>
        <w:t>’</w:t>
      </w:r>
      <w:r w:rsidRPr="003F3978">
        <w:rPr>
          <w:rFonts w:cs="Times New Roman"/>
        </w:rPr>
        <w:t>s certification must include the date of the examination, the basis for the determination, and whether the student</w:t>
      </w:r>
      <w:r w:rsidRPr="00250FE2">
        <w:rPr>
          <w:rFonts w:cs="Times New Roman"/>
        </w:rPr>
        <w:t>’</w:t>
      </w:r>
      <w:r w:rsidRPr="003F3978">
        <w:rPr>
          <w:rFonts w:cs="Times New Roman"/>
        </w:rPr>
        <w:t>s incapability of communicating, with or without reasonable accommodations, his wishes, interests, or preferences with respect to his educational program is likely to last until after age twenty</w:t>
      </w:r>
      <w:r>
        <w:rPr>
          <w:rFonts w:cs="Times New Roman"/>
        </w:rPr>
        <w:noBreakHyphen/>
      </w:r>
      <w:r w:rsidRPr="003F3978">
        <w:rPr>
          <w:rFonts w:cs="Times New Roman"/>
        </w:rPr>
        <w:t>one. The licensed professional</w:t>
      </w:r>
      <w:r w:rsidRPr="00250FE2">
        <w:rPr>
          <w:rFonts w:cs="Times New Roman"/>
        </w:rPr>
        <w:t>’</w:t>
      </w:r>
      <w:r w:rsidRPr="003F3978">
        <w:rPr>
          <w:rFonts w:cs="Times New Roman"/>
        </w:rPr>
        <w:t>s certification must remain in effect during the period the student receives educational services as an adult, regardless of whether the student transfers to another school or local education agency, if the student</w:t>
      </w:r>
      <w:r w:rsidRPr="00250FE2">
        <w:rPr>
          <w:rFonts w:cs="Times New Roman"/>
        </w:rPr>
        <w:t>’</w:t>
      </w:r>
      <w:r w:rsidRPr="003F3978">
        <w:rPr>
          <w:rFonts w:cs="Times New Roman"/>
        </w:rPr>
        <w:t>s subsequent local education agency is promptly provided with the documentation that the prior local education agency relied on in allowing an educational representative to participate on the student</w:t>
      </w:r>
      <w:r w:rsidRPr="00250FE2">
        <w:rPr>
          <w:rFonts w:cs="Times New Roman"/>
        </w:rPr>
        <w:t>’</w:t>
      </w:r>
      <w:r w:rsidRPr="003F3978">
        <w:rPr>
          <w:rFonts w:cs="Times New Roman"/>
        </w:rPr>
        <w:t>s behalf. The licensed professional referenced in this item may not be an employee of the local education agency or state education agency serving the student.</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r w:rsidRPr="003F3978">
        <w:rPr>
          <w:rFonts w:cs="Times New Roman"/>
        </w:rPr>
        <w:tab/>
        <w:t>(b)</w:t>
      </w:r>
      <w:r w:rsidRPr="003F3978">
        <w:rPr>
          <w:rFonts w:cs="Times New Roman"/>
        </w:rPr>
        <w:tab/>
        <w:t>For the purposes of this section, a person is considered incapable of communicating, with or without reasonable accommodations, his wishes, interests, or preferences if he is unable to:</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r w:rsidRPr="003F3978">
        <w:rPr>
          <w:rFonts w:cs="Times New Roman"/>
        </w:rPr>
        <w:tab/>
      </w:r>
      <w:r w:rsidRPr="003F3978">
        <w:rPr>
          <w:rFonts w:cs="Times New Roman"/>
        </w:rPr>
        <w:tab/>
        <w:t>(i)</w:t>
      </w:r>
      <w:r w:rsidRPr="003F3978">
        <w:rPr>
          <w:rFonts w:cs="Times New Roman"/>
        </w:rPr>
        <w:tab/>
      </w:r>
      <w:r w:rsidRPr="003F3978">
        <w:rPr>
          <w:rFonts w:cs="Times New Roman"/>
        </w:rPr>
        <w:tab/>
        <w:t>express, either verbally, through an interpreter, or through augmented communication devices, his wishes, interests, or preferences for his education program; or</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r w:rsidRPr="003F3978">
        <w:rPr>
          <w:rFonts w:cs="Times New Roman"/>
        </w:rPr>
        <w:tab/>
      </w:r>
      <w:r w:rsidRPr="003F3978">
        <w:rPr>
          <w:rFonts w:cs="Times New Roman"/>
        </w:rPr>
        <w:tab/>
        <w:t>(ii)</w:t>
      </w:r>
      <w:r w:rsidRPr="003F3978">
        <w:rPr>
          <w:rFonts w:cs="Times New Roman"/>
        </w:rPr>
        <w:tab/>
        <w:t xml:space="preserve">understand, even with the support from family, administrators, and experts in the field, what choices are available in a proposed education decision or program.  </w:t>
      </w:r>
      <w:r w:rsidRPr="00250FE2">
        <w:rPr>
          <w:rFonts w:cs="Times New Roman"/>
        </w:rPr>
        <w:t>‘</w:t>
      </w:r>
      <w:r w:rsidRPr="003F3978">
        <w:rPr>
          <w:rFonts w:cs="Times New Roman"/>
        </w:rPr>
        <w:t>Support</w:t>
      </w:r>
      <w:r w:rsidRPr="00250FE2">
        <w:rPr>
          <w:rFonts w:cs="Times New Roman"/>
        </w:rPr>
        <w:t>’</w:t>
      </w:r>
      <w:r w:rsidRPr="003F3978">
        <w:rPr>
          <w:rFonts w:cs="Times New Roman"/>
        </w:rPr>
        <w:t xml:space="preserve">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(2)</w:t>
      </w:r>
      <w:r w:rsidRPr="003F3978">
        <w:rPr>
          <w:rFonts w:cs="Times New Roman"/>
        </w:rPr>
        <w:tab/>
        <w:t>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(3)</w:t>
      </w:r>
      <w:r w:rsidRPr="003F3978">
        <w:rPr>
          <w:rFonts w:cs="Times New Roman"/>
        </w:rPr>
        <w:tab/>
        <w:t>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r w:rsidRPr="003F3978">
        <w:rPr>
          <w:rFonts w:cs="Times New Roman"/>
        </w:rPr>
        <w:tab/>
        <w:t>(a)</w:t>
      </w:r>
      <w:r w:rsidRPr="003F3978">
        <w:rPr>
          <w:rFonts w:cs="Times New Roman"/>
        </w:rPr>
        <w:tab/>
        <w:t>A challenge may be made at any time during which an educational representative is designated to act on the adult student</w:t>
      </w:r>
      <w:r w:rsidRPr="00250FE2">
        <w:rPr>
          <w:rFonts w:cs="Times New Roman"/>
        </w:rPr>
        <w:t>’</w:t>
      </w:r>
      <w:r w:rsidRPr="003F3978">
        <w:rPr>
          <w:rFonts w:cs="Times New Roman"/>
        </w:rPr>
        <w:t xml:space="preserve">s behalf. A challenge must be provided in writing to the superintendent of the local school district or his designee, who shall within ten business days notify the student and current appointed representative in writing. </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r>
      <w:r w:rsidRPr="003F3978">
        <w:rPr>
          <w:rFonts w:cs="Times New Roman"/>
        </w:rPr>
        <w:tab/>
        <w:t>(b)</w:t>
      </w:r>
      <w:r w:rsidRPr="003F3978">
        <w:rPr>
          <w:rFonts w:cs="Times New Roman"/>
        </w:rPr>
        <w:tab/>
        <w:t>Upon receipt of a written challenge in accordance with this section, the local education agency may not rely on an educational representative for any purpose.</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(4)</w:t>
      </w:r>
      <w:r w:rsidRPr="003F3978">
        <w:rPr>
          <w:rFonts w:cs="Times New Roman"/>
        </w:rPr>
        <w:tab/>
        <w:t>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(5)</w:t>
      </w:r>
      <w:r w:rsidRPr="003F3978">
        <w:rPr>
          <w:rFonts w:cs="Times New Roman"/>
        </w:rPr>
        <w:tab/>
        <w:t xml:space="preserve">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w:t>
      </w:r>
      <w:r>
        <w:rPr>
          <w:rFonts w:cs="Times New Roman"/>
        </w:rPr>
        <w:t>Article 5, Title 62</w:t>
      </w:r>
      <w:r w:rsidRPr="003F3978">
        <w:rPr>
          <w:rFonts w:cs="Times New Roman"/>
        </w:rPr>
        <w:t>, which terminates the authority of the educational representative.</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350.</w:t>
      </w:r>
      <w:r w:rsidRPr="003F3978">
        <w:rPr>
          <w:rFonts w:cs="Times New Roman"/>
        </w:rPr>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w:t>
      </w:r>
      <w:r w:rsidRPr="00250FE2">
        <w:rPr>
          <w:rFonts w:cs="Times New Roman"/>
        </w:rPr>
        <w:t>’</w:t>
      </w:r>
      <w:r w:rsidRPr="003F3978">
        <w:rPr>
          <w:rFonts w:cs="Times New Roman"/>
        </w:rPr>
        <w:t>s preferences to the extent they can be determined. If the student</w:t>
      </w:r>
      <w:r w:rsidRPr="00250FE2">
        <w:rPr>
          <w:rFonts w:cs="Times New Roman"/>
        </w:rPr>
        <w:t>’</w:t>
      </w:r>
      <w:r w:rsidRPr="003F3978">
        <w:rPr>
          <w:rFonts w:cs="Times New Roman"/>
        </w:rPr>
        <w:t>s preferences cannot be determined, then the decisions must be based upon the student</w:t>
      </w:r>
      <w:r w:rsidRPr="00250FE2">
        <w:rPr>
          <w:rFonts w:cs="Times New Roman"/>
        </w:rPr>
        <w:t>’</w:t>
      </w:r>
      <w:r w:rsidRPr="003F3978">
        <w:rPr>
          <w:rFonts w:cs="Times New Roman"/>
        </w:rPr>
        <w: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360.</w:t>
      </w:r>
      <w:r w:rsidRPr="003F3978">
        <w:rPr>
          <w:rFonts w:cs="Times New Roman"/>
        </w:rPr>
        <w:tab/>
        <w:t>As part of the student</w:t>
      </w:r>
      <w:r w:rsidRPr="00250FE2">
        <w:rPr>
          <w:rFonts w:cs="Times New Roman"/>
        </w:rPr>
        <w:t>’</w:t>
      </w:r>
      <w:r w:rsidRPr="003F3978">
        <w:rPr>
          <w:rFonts w:cs="Times New Roman"/>
        </w:rPr>
        <w:t>s transition plan, starting at age thirteen, local education agencies shall assist students eligible for special education with the transition to adulthood, including the need to make educational decisions.</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ab/>
        <w:t>Section 59</w:t>
      </w:r>
      <w:r>
        <w:rPr>
          <w:rFonts w:cs="Times New Roman"/>
        </w:rPr>
        <w:noBreakHyphen/>
      </w:r>
      <w:r w:rsidRPr="003F3978">
        <w:rPr>
          <w:rFonts w:cs="Times New Roman"/>
        </w:rPr>
        <w:t>33</w:t>
      </w:r>
      <w:r>
        <w:rPr>
          <w:rFonts w:cs="Times New Roman"/>
        </w:rPr>
        <w:noBreakHyphen/>
      </w:r>
      <w:r w:rsidRPr="003F3978">
        <w:rPr>
          <w:rFonts w:cs="Times New Roman"/>
        </w:rPr>
        <w:t>370.</w:t>
      </w:r>
      <w:r w:rsidRPr="003F3978">
        <w:rPr>
          <w:rFonts w:cs="Times New Roman"/>
        </w:rPr>
        <w:tab/>
        <w:t>The South Carolina Department of Education shall promulgate regulations, policies, and guidelines to implement this article.”</w:t>
      </w: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AB61BA"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Directives</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SECTION</w:t>
      </w:r>
      <w:r w:rsidRPr="003F3978">
        <w:rPr>
          <w:rFonts w:cs="Times New Roman"/>
        </w:rPr>
        <w:tab/>
        <w:t>2.</w:t>
      </w:r>
      <w:r w:rsidRPr="003F3978">
        <w:rPr>
          <w:rFonts w:cs="Times New Roman"/>
        </w:rPr>
        <w:tab/>
        <w:t>Sections 59</w:t>
      </w:r>
      <w:r>
        <w:rPr>
          <w:rFonts w:cs="Times New Roman"/>
        </w:rPr>
        <w:noBreakHyphen/>
      </w:r>
      <w:r w:rsidRPr="003F3978">
        <w:rPr>
          <w:rFonts w:cs="Times New Roman"/>
        </w:rPr>
        <w:t>33</w:t>
      </w:r>
      <w:r>
        <w:rPr>
          <w:rFonts w:cs="Times New Roman"/>
        </w:rPr>
        <w:noBreakHyphen/>
      </w:r>
      <w:r w:rsidRPr="003F3978">
        <w:rPr>
          <w:rFonts w:cs="Times New Roman"/>
        </w:rPr>
        <w:t>10 through 59</w:t>
      </w:r>
      <w:r>
        <w:rPr>
          <w:rFonts w:cs="Times New Roman"/>
        </w:rPr>
        <w:noBreakHyphen/>
      </w:r>
      <w:r w:rsidRPr="003F3978">
        <w:rPr>
          <w:rFonts w:cs="Times New Roman"/>
        </w:rPr>
        <w:t>33</w:t>
      </w:r>
      <w:r>
        <w:rPr>
          <w:rFonts w:cs="Times New Roman"/>
        </w:rPr>
        <w:noBreakHyphen/>
      </w:r>
      <w:r w:rsidRPr="003F3978">
        <w:rPr>
          <w:rFonts w:cs="Times New Roman"/>
        </w:rPr>
        <w:t>110 of the 1976 Code are designated as Article 1, Chapter 33, Title 59 entitled “General Provisions”. The Code Commissioner accordingly is directed to change references from “chapter” to “article” as appropriate.</w:t>
      </w: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AB61BA"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F3CFC" w:rsidRPr="003F3978"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F3978">
        <w:rPr>
          <w:rFonts w:cs="Times New Roman"/>
        </w:rPr>
        <w:t>SECTION</w:t>
      </w:r>
      <w:r w:rsidRPr="003F3978">
        <w:rPr>
          <w:rFonts w:cs="Times New Roman"/>
        </w:rPr>
        <w:tab/>
        <w:t>3.</w:t>
      </w:r>
      <w:r w:rsidRPr="003F3978">
        <w:rPr>
          <w:rFonts w:cs="Times New Roman"/>
        </w:rPr>
        <w:tab/>
        <w:t>This act takes effect upon approval by the Governor.</w:t>
      </w: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3CFC" w:rsidRDefault="006F3CFC"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6F3CFC" w:rsidRDefault="006F3CFC" w:rsidP="006F3CFC">
      <w:pPr>
        <w:jc w:val="both"/>
        <w:rPr>
          <w:color w:val="000000" w:themeColor="text1"/>
        </w:rPr>
      </w:pPr>
    </w:p>
    <w:p w:rsidR="006F3CFC" w:rsidRDefault="006F3CFC" w:rsidP="006F3CFC">
      <w:pPr>
        <w:jc w:val="both"/>
        <w:rPr>
          <w:color w:val="000000" w:themeColor="text1"/>
        </w:rPr>
      </w:pPr>
      <w:r>
        <w:rPr>
          <w:color w:val="000000" w:themeColor="text1"/>
        </w:rPr>
        <w:t>Approved the 5</w:t>
      </w:r>
      <w:r w:rsidRPr="004D0CB1">
        <w:rPr>
          <w:color w:val="000000" w:themeColor="text1"/>
          <w:vertAlign w:val="superscript"/>
        </w:rPr>
        <w:t>th</w:t>
      </w:r>
      <w:r>
        <w:rPr>
          <w:color w:val="000000" w:themeColor="text1"/>
        </w:rPr>
        <w:t xml:space="preserve"> day of June, 2016. </w:t>
      </w:r>
    </w:p>
    <w:p w:rsidR="006F3CFC" w:rsidRDefault="006F3CFC" w:rsidP="006F3CFC">
      <w:pPr>
        <w:jc w:val="center"/>
        <w:rPr>
          <w:color w:val="000000" w:themeColor="text1"/>
        </w:rPr>
      </w:pPr>
    </w:p>
    <w:p w:rsidR="006F3CFC" w:rsidRDefault="006F3CFC" w:rsidP="006F3CFC">
      <w:pPr>
        <w:jc w:val="center"/>
        <w:rPr>
          <w:color w:val="000000" w:themeColor="text1"/>
        </w:rPr>
      </w:pPr>
      <w:r>
        <w:rPr>
          <w:color w:val="000000" w:themeColor="text1"/>
        </w:rPr>
        <w:t>__________</w:t>
      </w:r>
    </w:p>
    <w:p w:rsidR="00C853F7" w:rsidRPr="00611DC9" w:rsidRDefault="00C853F7" w:rsidP="006F3C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853F7" w:rsidRPr="00611DC9" w:rsidSect="00C853F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C3" w:rsidRDefault="00262BC3" w:rsidP="007D5FAC">
      <w:r>
        <w:separator/>
      </w:r>
    </w:p>
  </w:endnote>
  <w:endnote w:type="continuationSeparator" w:id="0">
    <w:p w:rsidR="00262BC3" w:rsidRDefault="00262BC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F7" w:rsidRPr="00C853F7" w:rsidRDefault="00C853F7" w:rsidP="00C853F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42E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F7" w:rsidRDefault="00C85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C3" w:rsidRDefault="00262BC3" w:rsidP="007D5FAC">
      <w:r>
        <w:separator/>
      </w:r>
    </w:p>
  </w:footnote>
  <w:footnote w:type="continuationSeparator" w:id="0">
    <w:p w:rsidR="00262BC3" w:rsidRDefault="00262BC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21"/>
    <w:docVar w:name="ActSecretary" w:val="Morgan"/>
    <w:docVar w:name="ActSIdno" w:val="(169)  5021AB16"/>
    <w:docVar w:name="clipname" w:val="5021AB16"/>
    <w:docVar w:name="dvBillNumber" w:val="5021"/>
    <w:docVar w:name="dvBillNumberPrefix" w:val="H"/>
    <w:docVar w:name="dvOriginalBody" w:val="House"/>
    <w:docVar w:name="HOUSEACTFULLPATH" w:val="L:\COUNCIL\ACTS\5021AB16.DOCX"/>
    <w:docVar w:name="OrigHOUSEBillNo" w:val="5021"/>
    <w:docVar w:name="WhatActtype" w:val="AN ACT"/>
  </w:docVars>
  <w:rsids>
    <w:rsidRoot w:val="00262BC3"/>
    <w:rsid w:val="00002DE0"/>
    <w:rsid w:val="00020349"/>
    <w:rsid w:val="00020977"/>
    <w:rsid w:val="00021B0B"/>
    <w:rsid w:val="00040C05"/>
    <w:rsid w:val="0004251C"/>
    <w:rsid w:val="0004579B"/>
    <w:rsid w:val="00051B4F"/>
    <w:rsid w:val="00060E60"/>
    <w:rsid w:val="000673E4"/>
    <w:rsid w:val="0007088D"/>
    <w:rsid w:val="000731E9"/>
    <w:rsid w:val="00074565"/>
    <w:rsid w:val="00076A1A"/>
    <w:rsid w:val="00077DA3"/>
    <w:rsid w:val="00081300"/>
    <w:rsid w:val="00085C37"/>
    <w:rsid w:val="00092EE6"/>
    <w:rsid w:val="000947A2"/>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42FC"/>
    <w:rsid w:val="001626DB"/>
    <w:rsid w:val="0016382C"/>
    <w:rsid w:val="00164122"/>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C10"/>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FE2"/>
    <w:rsid w:val="00254411"/>
    <w:rsid w:val="00254FFA"/>
    <w:rsid w:val="00257ACD"/>
    <w:rsid w:val="00257CAA"/>
    <w:rsid w:val="00262BC3"/>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5E55"/>
    <w:rsid w:val="002C7D37"/>
    <w:rsid w:val="002D3267"/>
    <w:rsid w:val="002D7489"/>
    <w:rsid w:val="002D7F22"/>
    <w:rsid w:val="002E0E09"/>
    <w:rsid w:val="002E2659"/>
    <w:rsid w:val="002E42ED"/>
    <w:rsid w:val="002E45C8"/>
    <w:rsid w:val="002F02D3"/>
    <w:rsid w:val="002F1141"/>
    <w:rsid w:val="002F32C3"/>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3250"/>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84C"/>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1DC9"/>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3CFC"/>
    <w:rsid w:val="007009F2"/>
    <w:rsid w:val="00703D30"/>
    <w:rsid w:val="00704FF9"/>
    <w:rsid w:val="007052EC"/>
    <w:rsid w:val="00706B65"/>
    <w:rsid w:val="007261EE"/>
    <w:rsid w:val="00727B0E"/>
    <w:rsid w:val="00733A16"/>
    <w:rsid w:val="00733C4C"/>
    <w:rsid w:val="00737039"/>
    <w:rsid w:val="007373C7"/>
    <w:rsid w:val="00740BEB"/>
    <w:rsid w:val="00741BAE"/>
    <w:rsid w:val="007469F9"/>
    <w:rsid w:val="0074783A"/>
    <w:rsid w:val="007514EF"/>
    <w:rsid w:val="00765D0A"/>
    <w:rsid w:val="007746C2"/>
    <w:rsid w:val="007751E6"/>
    <w:rsid w:val="00775B87"/>
    <w:rsid w:val="00784A23"/>
    <w:rsid w:val="007946C3"/>
    <w:rsid w:val="007A44AD"/>
    <w:rsid w:val="007A4BCD"/>
    <w:rsid w:val="007A73EA"/>
    <w:rsid w:val="007A7F6B"/>
    <w:rsid w:val="007B0E40"/>
    <w:rsid w:val="007B1F25"/>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94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71E1"/>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1B7D"/>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312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1BA"/>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2E4"/>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53F7"/>
    <w:rsid w:val="00C92B7D"/>
    <w:rsid w:val="00C94E59"/>
    <w:rsid w:val="00C97CB8"/>
    <w:rsid w:val="00CA4CD7"/>
    <w:rsid w:val="00CA5358"/>
    <w:rsid w:val="00CA7497"/>
    <w:rsid w:val="00CB08A1"/>
    <w:rsid w:val="00CB12FE"/>
    <w:rsid w:val="00CC2825"/>
    <w:rsid w:val="00CD0D8E"/>
    <w:rsid w:val="00CE13B0"/>
    <w:rsid w:val="00CE1407"/>
    <w:rsid w:val="00CE54EA"/>
    <w:rsid w:val="00CE5B85"/>
    <w:rsid w:val="00CE62ED"/>
    <w:rsid w:val="00CF5814"/>
    <w:rsid w:val="00D00681"/>
    <w:rsid w:val="00D06DCC"/>
    <w:rsid w:val="00D1180E"/>
    <w:rsid w:val="00D1241F"/>
    <w:rsid w:val="00D132DB"/>
    <w:rsid w:val="00D13C21"/>
    <w:rsid w:val="00D16DAA"/>
    <w:rsid w:val="00D17AD0"/>
    <w:rsid w:val="00D24C82"/>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044E"/>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3FA8"/>
    <w:rsid w:val="00E00FC9"/>
    <w:rsid w:val="00E02CA8"/>
    <w:rsid w:val="00E0650C"/>
    <w:rsid w:val="00E06B5E"/>
    <w:rsid w:val="00E076BB"/>
    <w:rsid w:val="00E140B1"/>
    <w:rsid w:val="00E14905"/>
    <w:rsid w:val="00E33964"/>
    <w:rsid w:val="00E33DFF"/>
    <w:rsid w:val="00E3462F"/>
    <w:rsid w:val="00E36214"/>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84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BB6E108B-12F7-403B-AAF0-0BACAEE2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853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50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FE2"/>
    <w:rPr>
      <w:rFonts w:ascii="Segoe UI" w:hAnsi="Segoe UI" w:cs="Segoe UI"/>
      <w:sz w:val="18"/>
      <w:szCs w:val="18"/>
    </w:rPr>
  </w:style>
  <w:style w:type="table" w:styleId="TableGrid">
    <w:name w:val="Table Grid"/>
    <w:basedOn w:val="TableNormal"/>
    <w:uiPriority w:val="59"/>
    <w:rsid w:val="001F6C1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853F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C5E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2-16.docx" TargetMode="External"/><Relationship Id="rId13" Type="http://schemas.openxmlformats.org/officeDocument/2006/relationships/hyperlink" Target="file:///h:\SJ%20Archive\2016\04-28-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5021_20160525.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3-02-16.docx" TargetMode="External"/><Relationship Id="rId12" Type="http://schemas.openxmlformats.org/officeDocument/2006/relationships/hyperlink" Target="file:///h:\HJ%20Archive\2016\04-27-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5021_20160421.docx" TargetMode="Externa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file:///h:\HJ%20Archive\2016\06-02-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5021_20160420.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5-25-16.docx" TargetMode="External"/><Relationship Id="rId23" Type="http://schemas.openxmlformats.org/officeDocument/2006/relationships/hyperlink" Target="file:///p:\pprever\2015-16\5021_20160302.docx" TargetMode="External"/><Relationship Id="rId28" Type="http://schemas.openxmlformats.org/officeDocument/2006/relationships/hyperlink" Target="file:///p:\pprever\2015-16\5021_20160531.docx" TargetMode="External"/><Relationship Id="rId10" Type="http://schemas.openxmlformats.org/officeDocument/2006/relationships/hyperlink" Target="file:///h:\HJ%20Archive\2016\04-26-16.docx" TargetMode="External"/><Relationship Id="rId19" Type="http://schemas.openxmlformats.org/officeDocument/2006/relationships/hyperlink" Target="file:///h:\SJ%20Archive\2016\06-01-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http://www.scstatehouse.gov/billsearch.php?billnumbers=5021&amp;session=121&amp;summary=B" TargetMode="External"/><Relationship Id="rId27" Type="http://schemas.openxmlformats.org/officeDocument/2006/relationships/hyperlink" Target="file:///p:\pprever\2015-16\5021_201605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A8BB-E4D0-4D8E-8D4F-A2D194AD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5021: Adult Students with Disabilities Educational Rights Consent Act - South Carolina Legislature Online</dc:title>
  <dc:subject/>
  <dc:creator>angiemorgan</dc:creator>
  <cp:keywords/>
  <dc:description/>
  <cp:lastModifiedBy>N Cumfer</cp:lastModifiedBy>
  <cp:revision>2</cp:revision>
  <cp:lastPrinted>2016-06-02T17:13:00Z</cp:lastPrinted>
  <dcterms:created xsi:type="dcterms:W3CDTF">2016-12-02T19:25:00Z</dcterms:created>
  <dcterms:modified xsi:type="dcterms:W3CDTF">2016-12-02T19:25:00Z</dcterms:modified>
</cp:coreProperties>
</file>