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669" w:rsidRDefault="00AE2669" w:rsidP="00AE2669">
      <w:pPr>
        <w:widowControl w:val="0"/>
        <w:jc w:val="center"/>
      </w:pPr>
      <w:bookmarkStart w:id="0" w:name="_GoBack"/>
      <w:bookmarkEnd w:id="0"/>
      <w:r w:rsidRPr="00AE2669">
        <w:rPr>
          <w:b/>
        </w:rPr>
        <w:t>South Carolina General Assembly</w:t>
      </w:r>
    </w:p>
    <w:p w:rsidR="00AE2669" w:rsidRDefault="00AE2669" w:rsidP="00AE2669">
      <w:pPr>
        <w:widowControl w:val="0"/>
        <w:jc w:val="center"/>
      </w:pPr>
      <w:r>
        <w:t>121st Session, 2015-2016</w:t>
      </w:r>
    </w:p>
    <w:p w:rsidR="00AE2669" w:rsidRDefault="00AE2669" w:rsidP="00AE2669">
      <w:pPr>
        <w:widowControl w:val="0"/>
        <w:jc w:val="left"/>
      </w:pPr>
    </w:p>
    <w:p w:rsidR="00AE2669" w:rsidRDefault="00AE2669" w:rsidP="00AE2669">
      <w:pPr>
        <w:widowControl w:val="0"/>
        <w:jc w:val="left"/>
        <w:rPr>
          <w:b/>
        </w:rPr>
      </w:pPr>
      <w:r w:rsidRPr="00AE2669">
        <w:rPr>
          <w:b/>
        </w:rPr>
        <w:t>S.</w:t>
      </w:r>
      <w:r>
        <w:rPr>
          <w:b/>
        </w:rPr>
        <w:t xml:space="preserve"> </w:t>
      </w:r>
      <w:r w:rsidRPr="00AE2669">
        <w:rPr>
          <w:b/>
        </w:rPr>
        <w:t>995</w:t>
      </w:r>
    </w:p>
    <w:p w:rsidR="00AE2669" w:rsidRDefault="00AE2669" w:rsidP="00AE2669">
      <w:pPr>
        <w:widowControl w:val="0"/>
        <w:jc w:val="left"/>
        <w:rPr>
          <w:b/>
        </w:rPr>
      </w:pPr>
    </w:p>
    <w:p w:rsidR="00AE2669" w:rsidRDefault="00AE2669" w:rsidP="00AE2669">
      <w:pPr>
        <w:widowControl w:val="0"/>
        <w:jc w:val="left"/>
      </w:pPr>
      <w:r w:rsidRPr="00AE2669">
        <w:rPr>
          <w:b/>
        </w:rPr>
        <w:t>STATUS INFORMATION</w:t>
      </w:r>
    </w:p>
    <w:p w:rsidR="00AE2669" w:rsidRDefault="00AE2669" w:rsidP="00AE2669">
      <w:pPr>
        <w:widowControl w:val="0"/>
        <w:jc w:val="left"/>
      </w:pPr>
    </w:p>
    <w:p w:rsidR="00AE2669" w:rsidRDefault="00AE2669" w:rsidP="00AE2669">
      <w:pPr>
        <w:widowControl w:val="0"/>
        <w:jc w:val="left"/>
      </w:pPr>
      <w:r>
        <w:t>General Bill</w:t>
      </w:r>
    </w:p>
    <w:p w:rsidR="00AE2669" w:rsidRDefault="0000691F" w:rsidP="00AE2669">
      <w:pPr>
        <w:widowControl w:val="0"/>
        <w:jc w:val="left"/>
      </w:pPr>
      <w:r>
        <w:t>Sponsors: Senators Campbell, Grooms, Verdin, Bryant, Setzler and Campsen</w:t>
      </w:r>
    </w:p>
    <w:p w:rsidR="00AE2669" w:rsidRDefault="00AE2669" w:rsidP="00AE2669">
      <w:pPr>
        <w:widowControl w:val="0"/>
        <w:jc w:val="left"/>
      </w:pPr>
      <w:r>
        <w:t>Document Path: l:\council\bills\bbm\9398dg16.docx</w:t>
      </w:r>
    </w:p>
    <w:p w:rsidR="00BB3C1D" w:rsidRDefault="00BB3C1D" w:rsidP="00AE2669">
      <w:pPr>
        <w:widowControl w:val="0"/>
        <w:jc w:val="left"/>
      </w:pPr>
      <w:r>
        <w:t>Companion/Similar bill(s): 4712</w:t>
      </w:r>
    </w:p>
    <w:p w:rsidR="00AE2669" w:rsidRDefault="00AE2669" w:rsidP="00AE2669">
      <w:pPr>
        <w:widowControl w:val="0"/>
        <w:jc w:val="left"/>
      </w:pPr>
    </w:p>
    <w:p w:rsidR="00AE2669" w:rsidRDefault="00AE2669" w:rsidP="00AE2669">
      <w:pPr>
        <w:widowControl w:val="0"/>
        <w:jc w:val="left"/>
      </w:pPr>
      <w:r>
        <w:t>Introduced in the Senate on January 14, 2016</w:t>
      </w:r>
    </w:p>
    <w:p w:rsidR="00AE2669" w:rsidRDefault="00AE2669" w:rsidP="00AE2669">
      <w:pPr>
        <w:widowControl w:val="0"/>
        <w:jc w:val="left"/>
      </w:pPr>
      <w:r>
        <w:t xml:space="preserve">Currently residing in the Senate Committee on </w:t>
      </w:r>
      <w:r w:rsidRPr="00AE2669">
        <w:rPr>
          <w:b/>
        </w:rPr>
        <w:t>Finance</w:t>
      </w:r>
    </w:p>
    <w:p w:rsidR="00AE2669" w:rsidRDefault="00AE2669" w:rsidP="00AE2669">
      <w:pPr>
        <w:widowControl w:val="0"/>
        <w:jc w:val="left"/>
      </w:pPr>
    </w:p>
    <w:p w:rsidR="00AE2669" w:rsidRDefault="00AE2669" w:rsidP="00AE2669">
      <w:pPr>
        <w:widowControl w:val="0"/>
        <w:jc w:val="left"/>
      </w:pPr>
      <w:r>
        <w:t xml:space="preserve">Summary: </w:t>
      </w:r>
      <w:r w:rsidR="003E7180">
        <w:t>Agriculture real property, mobile home, and lessee improvements</w:t>
      </w:r>
    </w:p>
    <w:p w:rsidR="00AE2669" w:rsidRDefault="00AE2669" w:rsidP="00AE2669">
      <w:pPr>
        <w:widowControl w:val="0"/>
        <w:jc w:val="left"/>
      </w:pPr>
    </w:p>
    <w:p w:rsidR="00AE2669" w:rsidRDefault="00AE2669" w:rsidP="00AE2669">
      <w:pPr>
        <w:widowControl w:val="0"/>
        <w:jc w:val="left"/>
      </w:pPr>
    </w:p>
    <w:p w:rsidR="00AE2669" w:rsidRDefault="00AE2669" w:rsidP="00AE2669">
      <w:pPr>
        <w:widowControl w:val="0"/>
        <w:tabs>
          <w:tab w:val="center" w:pos="590"/>
          <w:tab w:val="center" w:pos="1440"/>
          <w:tab w:val="left" w:pos="1872"/>
          <w:tab w:val="left" w:pos="9187"/>
        </w:tabs>
        <w:jc w:val="left"/>
      </w:pPr>
      <w:r w:rsidRPr="00AE2669">
        <w:rPr>
          <w:b/>
        </w:rPr>
        <w:t>HISTORY OF LEGISLATIVE ACTIONS</w:t>
      </w:r>
    </w:p>
    <w:p w:rsidR="00AE2669" w:rsidRDefault="00AE2669" w:rsidP="00AE2669">
      <w:pPr>
        <w:widowControl w:val="0"/>
        <w:tabs>
          <w:tab w:val="center" w:pos="590"/>
          <w:tab w:val="center" w:pos="1440"/>
          <w:tab w:val="left" w:pos="1872"/>
          <w:tab w:val="left" w:pos="9187"/>
        </w:tabs>
        <w:jc w:val="left"/>
      </w:pPr>
    </w:p>
    <w:p w:rsidR="00AE2669" w:rsidRPr="00AE2669" w:rsidRDefault="00AE2669" w:rsidP="00AE2669">
      <w:pPr>
        <w:widowControl w:val="0"/>
        <w:tabs>
          <w:tab w:val="center" w:pos="590"/>
          <w:tab w:val="center" w:pos="1440"/>
          <w:tab w:val="left" w:pos="1872"/>
          <w:tab w:val="left" w:pos="9187"/>
        </w:tabs>
        <w:jc w:val="left"/>
      </w:pPr>
      <w:r w:rsidRPr="00AE2669">
        <w:rPr>
          <w:u w:val="single"/>
        </w:rPr>
        <w:tab/>
        <w:t>Date</w:t>
      </w:r>
      <w:r w:rsidRPr="00AE2669">
        <w:rPr>
          <w:u w:val="single"/>
        </w:rPr>
        <w:tab/>
        <w:t>Body</w:t>
      </w:r>
      <w:r w:rsidRPr="00AE2669">
        <w:rPr>
          <w:u w:val="single"/>
        </w:rPr>
        <w:tab/>
        <w:t>Action Description with journal page number</w:t>
      </w:r>
      <w:r w:rsidRPr="00AE2669">
        <w:rPr>
          <w:u w:val="single"/>
        </w:rPr>
        <w:tab/>
      </w:r>
    </w:p>
    <w:p w:rsidR="00106604" w:rsidRDefault="00106604" w:rsidP="00106604">
      <w:pPr>
        <w:widowControl w:val="0"/>
        <w:tabs>
          <w:tab w:val="right" w:pos="1008"/>
          <w:tab w:val="left" w:pos="1152"/>
          <w:tab w:val="left" w:pos="1872"/>
          <w:tab w:val="left" w:pos="9187"/>
        </w:tabs>
        <w:ind w:left="2088" w:hanging="2088"/>
        <w:jc w:val="left"/>
      </w:pPr>
      <w:r>
        <w:tab/>
        <w:t>1/14/2016</w:t>
      </w:r>
      <w:r>
        <w:tab/>
        <w:t>Senate</w:t>
      </w:r>
      <w:r>
        <w:tab/>
      </w:r>
      <w:r w:rsidRPr="001A2556">
        <w:t>Introduced and read first time (</w:t>
      </w:r>
      <w:hyperlink r:id="rId7" w:history="1">
        <w:r w:rsidRPr="009946B1">
          <w:rPr>
            <w:rStyle w:val="Hyperlink"/>
          </w:rPr>
          <w:t>Senate Journal</w:t>
        </w:r>
        <w:r w:rsidRPr="009946B1">
          <w:rPr>
            <w:rStyle w:val="Hyperlink"/>
          </w:rPr>
          <w:noBreakHyphen/>
          <w:t>page 7</w:t>
        </w:r>
      </w:hyperlink>
      <w:r w:rsidRPr="001A2556">
        <w:t>)</w:t>
      </w:r>
    </w:p>
    <w:p w:rsidR="00106604" w:rsidRDefault="00106604" w:rsidP="00106604">
      <w:pPr>
        <w:widowControl w:val="0"/>
        <w:tabs>
          <w:tab w:val="right" w:pos="1008"/>
          <w:tab w:val="left" w:pos="1152"/>
          <w:tab w:val="left" w:pos="1872"/>
          <w:tab w:val="left" w:pos="9187"/>
        </w:tabs>
        <w:ind w:left="2088" w:hanging="2088"/>
        <w:jc w:val="left"/>
      </w:pPr>
      <w:r>
        <w:tab/>
        <w:t>1/14/2016</w:t>
      </w:r>
      <w:r>
        <w:tab/>
        <w:t>Senate</w:t>
      </w:r>
      <w:r>
        <w:tab/>
      </w:r>
      <w:r w:rsidRPr="001A2556">
        <w:t>R</w:t>
      </w:r>
      <w:r>
        <w:t xml:space="preserve">eferred to Committee on </w:t>
      </w:r>
      <w:r w:rsidRPr="001A2556">
        <w:rPr>
          <w:b/>
        </w:rPr>
        <w:t>Finance</w:t>
      </w:r>
      <w:r>
        <w:t xml:space="preserve"> </w:t>
      </w:r>
      <w:r w:rsidRPr="001A2556">
        <w:t>(</w:t>
      </w:r>
      <w:hyperlink r:id="rId8" w:history="1">
        <w:r w:rsidRPr="009946B1">
          <w:rPr>
            <w:rStyle w:val="Hyperlink"/>
          </w:rPr>
          <w:t>Senate Journal</w:t>
        </w:r>
        <w:r w:rsidRPr="009946B1">
          <w:rPr>
            <w:rStyle w:val="Hyperlink"/>
          </w:rPr>
          <w:noBreakHyphen/>
          <w:t>page 7</w:t>
        </w:r>
      </w:hyperlink>
      <w:r w:rsidRPr="001A2556">
        <w:t>)</w:t>
      </w:r>
    </w:p>
    <w:p w:rsidR="00106604" w:rsidRDefault="00106604" w:rsidP="00106604">
      <w:pPr>
        <w:widowControl w:val="0"/>
        <w:tabs>
          <w:tab w:val="right" w:pos="1008"/>
          <w:tab w:val="left" w:pos="1152"/>
          <w:tab w:val="left" w:pos="1872"/>
          <w:tab w:val="left" w:pos="9187"/>
        </w:tabs>
        <w:ind w:left="2088" w:hanging="2088"/>
        <w:jc w:val="left"/>
      </w:pPr>
    </w:p>
    <w:p w:rsidR="00AE2669" w:rsidRDefault="00AE2669" w:rsidP="00AE2669">
      <w:pPr>
        <w:widowControl w:val="0"/>
        <w:tabs>
          <w:tab w:val="right" w:pos="1008"/>
          <w:tab w:val="left" w:pos="1152"/>
          <w:tab w:val="left" w:pos="1872"/>
          <w:tab w:val="left" w:pos="9187"/>
        </w:tabs>
        <w:ind w:left="2088" w:hanging="2088"/>
        <w:jc w:val="left"/>
      </w:pPr>
      <w:r>
        <w:t xml:space="preserve">View the latest </w:t>
      </w:r>
      <w:hyperlink r:id="rId9" w:history="1">
        <w:r w:rsidRPr="00AE2669">
          <w:rPr>
            <w:rStyle w:val="Hyperlink"/>
          </w:rPr>
          <w:t>legislative information</w:t>
        </w:r>
      </w:hyperlink>
      <w:r>
        <w:t xml:space="preserve"> at the website</w:t>
      </w:r>
    </w:p>
    <w:p w:rsidR="00AE2669" w:rsidRDefault="00AE2669" w:rsidP="00AE2669">
      <w:pPr>
        <w:widowControl w:val="0"/>
        <w:tabs>
          <w:tab w:val="right" w:pos="1008"/>
          <w:tab w:val="left" w:pos="1152"/>
          <w:tab w:val="left" w:pos="1872"/>
          <w:tab w:val="left" w:pos="9187"/>
        </w:tabs>
        <w:ind w:left="2088" w:hanging="2088"/>
        <w:jc w:val="left"/>
      </w:pPr>
    </w:p>
    <w:p w:rsidR="00AE2669" w:rsidRPr="00AE2669" w:rsidRDefault="00AE2669" w:rsidP="00AE2669">
      <w:pPr>
        <w:widowControl w:val="0"/>
        <w:tabs>
          <w:tab w:val="right" w:pos="1008"/>
          <w:tab w:val="left" w:pos="1152"/>
          <w:tab w:val="left" w:pos="1872"/>
          <w:tab w:val="left" w:pos="9187"/>
        </w:tabs>
        <w:ind w:left="2088" w:hanging="2088"/>
        <w:jc w:val="left"/>
      </w:pPr>
    </w:p>
    <w:p w:rsidR="00AE2669" w:rsidRDefault="00AE2669" w:rsidP="00AE2669">
      <w:pPr>
        <w:widowControl w:val="0"/>
        <w:jc w:val="left"/>
      </w:pPr>
      <w:r w:rsidRPr="00AE2669">
        <w:rPr>
          <w:b/>
        </w:rPr>
        <w:t>VERSIONS OF THIS BILL</w:t>
      </w:r>
    </w:p>
    <w:p w:rsidR="00AE2669" w:rsidRDefault="00AE2669" w:rsidP="00AE2669">
      <w:pPr>
        <w:widowControl w:val="0"/>
        <w:jc w:val="left"/>
      </w:pPr>
    </w:p>
    <w:p w:rsidR="00AE2669" w:rsidRDefault="009946B1" w:rsidP="00AE2669">
      <w:pPr>
        <w:widowControl w:val="0"/>
        <w:jc w:val="left"/>
      </w:pPr>
      <w:hyperlink r:id="rId10" w:history="1">
        <w:r w:rsidR="00AE2669">
          <w:rPr>
            <w:rStyle w:val="Hyperlink"/>
          </w:rPr>
          <w:t>1/14/2016</w:t>
        </w:r>
      </w:hyperlink>
    </w:p>
    <w:p w:rsidR="00AE2669" w:rsidRDefault="00AE2669" w:rsidP="00AE2669"/>
    <w:p w:rsidR="00AE2669" w:rsidRDefault="00AE2669" w:rsidP="00AE2669">
      <w:pPr>
        <w:sectPr w:rsidR="00AE2669" w:rsidSect="00AE2669">
          <w:pgSz w:w="12240" w:h="15840" w:code="1"/>
          <w:pgMar w:top="1080" w:right="1440" w:bottom="1080" w:left="1440" w:header="720" w:footer="720" w:gutter="0"/>
          <w:cols w:space="720"/>
          <w:noEndnote/>
          <w:docGrid w:linePitch="360"/>
        </w:sectPr>
      </w:pPr>
    </w:p>
    <w:p w:rsidR="008B0DB2" w:rsidRDefault="008B0DB2"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F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A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7D90">
        <w:rPr>
          <w:color w:val="000000" w:themeColor="text1"/>
          <w:u w:color="000000" w:themeColor="text1"/>
        </w:rPr>
        <w:t>TO AMEND SECTION 12</w:t>
      </w:r>
      <w:r w:rsidR="00B83404">
        <w:rPr>
          <w:color w:val="000000" w:themeColor="text1"/>
          <w:u w:color="000000" w:themeColor="text1"/>
        </w:rPr>
        <w:noBreakHyphen/>
      </w:r>
      <w:r w:rsidRPr="003C7D90">
        <w:rPr>
          <w:color w:val="000000" w:themeColor="text1"/>
          <w:u w:color="000000" w:themeColor="text1"/>
        </w:rPr>
        <w:t>43</w:t>
      </w:r>
      <w:r w:rsidR="00B83404">
        <w:rPr>
          <w:color w:val="000000" w:themeColor="text1"/>
          <w:u w:color="000000" w:themeColor="text1"/>
        </w:rPr>
        <w:noBreakHyphen/>
      </w:r>
      <w:r w:rsidRPr="003C7D90">
        <w:rPr>
          <w:color w:val="000000" w:themeColor="text1"/>
          <w:u w:color="000000" w:themeColor="text1"/>
        </w:rPr>
        <w:t>230</w:t>
      </w:r>
      <w:r w:rsidR="006C631D">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B83404">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B83404">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sidR="006C631D">
        <w:rPr>
          <w:color w:val="000000" w:themeColor="text1"/>
          <w:u w:color="000000" w:themeColor="text1"/>
        </w:rPr>
        <w:t>BEFORE</w:t>
      </w:r>
      <w:r w:rsidRPr="003C7D90">
        <w:rPr>
          <w:color w:val="000000" w:themeColor="text1"/>
          <w:u w:color="000000" w:themeColor="text1"/>
        </w:rPr>
        <w:t xml:space="preserve"> THE ERECTION OF THE SIGN.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F45" w:rsidRDefault="00B82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2F45" w:rsidRDefault="00B82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8F" w:rsidRPr="003C7D90" w:rsidRDefault="00B82F45"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6A8F" w:rsidRPr="003C7D90">
        <w:rPr>
          <w:color w:val="000000" w:themeColor="text1"/>
          <w:u w:color="000000" w:themeColor="text1"/>
        </w:rPr>
        <w:t>Section 12</w:t>
      </w:r>
      <w:r w:rsidR="00B83404">
        <w:rPr>
          <w:color w:val="000000" w:themeColor="text1"/>
          <w:u w:color="000000" w:themeColor="text1"/>
        </w:rPr>
        <w:noBreakHyphen/>
      </w:r>
      <w:r w:rsidR="00886A8F" w:rsidRPr="003C7D90">
        <w:rPr>
          <w:color w:val="000000" w:themeColor="text1"/>
          <w:u w:color="000000" w:themeColor="text1"/>
        </w:rPr>
        <w:t>43</w:t>
      </w:r>
      <w:r w:rsidR="00B83404">
        <w:rPr>
          <w:color w:val="000000" w:themeColor="text1"/>
          <w:u w:color="000000" w:themeColor="text1"/>
        </w:rPr>
        <w:noBreakHyphen/>
      </w:r>
      <w:r w:rsidR="00886A8F" w:rsidRPr="003C7D90">
        <w:rPr>
          <w:color w:val="000000" w:themeColor="text1"/>
          <w:u w:color="000000" w:themeColor="text1"/>
        </w:rPr>
        <w:t xml:space="preserve">230 of the 1976 Code is amended by </w:t>
      </w:r>
      <w:r w:rsidR="008A543E">
        <w:rPr>
          <w:color w:val="000000" w:themeColor="text1"/>
          <w:u w:color="000000" w:themeColor="text1"/>
        </w:rPr>
        <w:t>adding a new subsection</w:t>
      </w:r>
      <w:r w:rsidR="00886A8F" w:rsidRPr="003C7D90">
        <w:rPr>
          <w:color w:val="000000" w:themeColor="text1"/>
          <w:u w:color="000000" w:themeColor="text1"/>
        </w:rPr>
        <w:t xml:space="preserve"> to read:</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B83404">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(2)</w:t>
      </w:r>
      <w:r w:rsidRPr="003C7D90">
        <w:rPr>
          <w:color w:val="000000" w:themeColor="text1"/>
          <w:u w:color="000000" w:themeColor="text1"/>
        </w:rPr>
        <w:tab/>
        <w:t>If an off</w:t>
      </w:r>
      <w:r w:rsidR="00B83404">
        <w:rPr>
          <w:color w:val="000000" w:themeColor="text1"/>
          <w:u w:color="000000" w:themeColor="text1"/>
        </w:rPr>
        <w:noBreakHyphen/>
      </w:r>
      <w:r w:rsidRPr="003C7D90">
        <w:rPr>
          <w:color w:val="000000" w:themeColor="text1"/>
          <w:u w:color="000000" w:themeColor="text1"/>
        </w:rPr>
        <w:t>premises outdoor advertising sign site is one</w:t>
      </w:r>
      <w:r w:rsidR="00B83404">
        <w:rPr>
          <w:color w:val="000000" w:themeColor="text1"/>
          <w:u w:color="000000" w:themeColor="text1"/>
        </w:rPr>
        <w:noBreakHyphen/>
      </w:r>
      <w:r w:rsidRPr="003C7D90">
        <w:rPr>
          <w:color w:val="000000" w:themeColor="text1"/>
          <w:u w:color="000000" w:themeColor="text1"/>
        </w:rPr>
        <w:t>quarter of an acre or less, or is otherwise limited to an area large enough only to accommodate the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B83404">
        <w:rPr>
          <w:color w:val="000000" w:themeColor="text1"/>
          <w:u w:color="000000" w:themeColor="text1"/>
        </w:rPr>
        <w:noBreakHyphen/>
      </w:r>
      <w:r w:rsidRPr="003C7D90">
        <w:rPr>
          <w:color w:val="000000" w:themeColor="text1"/>
          <w:u w:color="000000" w:themeColor="text1"/>
        </w:rPr>
        <w:t xml:space="preserve">premises outdoor advertising sign site real property must be assessed to the site owner at its value </w:t>
      </w:r>
      <w:r w:rsidR="006C631D">
        <w:rPr>
          <w:color w:val="000000" w:themeColor="text1"/>
          <w:u w:color="000000" w:themeColor="text1"/>
        </w:rPr>
        <w:lastRenderedPageBreak/>
        <w:t>before</w:t>
      </w:r>
      <w:r w:rsidRPr="003C7D90">
        <w:rPr>
          <w:color w:val="000000" w:themeColor="text1"/>
          <w:u w:color="000000" w:themeColor="text1"/>
        </w:rPr>
        <w:t xml:space="preserve"> the lease or construction of the sign without regard to the structure, the lease, or lease income, and no separate assessment may be issued for the sign company</w:t>
      </w:r>
      <w:r w:rsidR="00B83404" w:rsidRPr="00B83404">
        <w:rPr>
          <w:color w:val="000000" w:themeColor="text1"/>
          <w:u w:color="000000" w:themeColor="text1"/>
        </w:rPr>
        <w:t>’</w:t>
      </w:r>
      <w:r w:rsidRPr="003C7D90">
        <w:rPr>
          <w:color w:val="000000" w:themeColor="text1"/>
          <w:u w:color="000000" w:themeColor="text1"/>
        </w:rPr>
        <w:t xml:space="preserve">s lease or ownership interest.  The lease or construction of such property does not constitute an assessable transfer of interest pursuant to Article 25, Chapter 37, Title 12, and the real property constituting the sign site shall maintain its same property tax classification as commercial, manufacturing, agricultural, or utility property as it had </w:t>
      </w:r>
      <w:r w:rsidR="006C631D">
        <w:rPr>
          <w:color w:val="000000" w:themeColor="text1"/>
          <w:u w:color="000000" w:themeColor="text1"/>
        </w:rPr>
        <w:t>before</w:t>
      </w:r>
      <w:r w:rsidRPr="003C7D90">
        <w:rPr>
          <w:color w:val="000000" w:themeColor="text1"/>
          <w:u w:color="000000" w:themeColor="text1"/>
        </w:rPr>
        <w:t xml:space="preserve"> the lease.</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B83404" w:rsidRPr="00B83404">
        <w:rPr>
          <w:color w:val="000000" w:themeColor="text1"/>
          <w:u w:color="000000" w:themeColor="text1"/>
        </w:rPr>
        <w:t>‘</w:t>
      </w:r>
      <w:r w:rsidRPr="003C7D90">
        <w:rPr>
          <w:color w:val="000000" w:themeColor="text1"/>
          <w:u w:color="000000" w:themeColor="text1"/>
        </w:rPr>
        <w:t>Intangible personal property</w:t>
      </w:r>
      <w:r w:rsidR="00B83404" w:rsidRPr="00B83404">
        <w:rPr>
          <w:color w:val="000000" w:themeColor="text1"/>
          <w:u w:color="000000" w:themeColor="text1"/>
        </w:rPr>
        <w:t>’</w:t>
      </w:r>
      <w:r w:rsidRPr="003C7D90">
        <w:rPr>
          <w:color w:val="000000" w:themeColor="text1"/>
          <w:u w:color="000000" w:themeColor="text1"/>
        </w:rPr>
        <w:t xml:space="preserve"> has the same meaning as contained in Section 3(j)</w:t>
      </w:r>
      <w:r w:rsidR="008A543E">
        <w:rPr>
          <w:color w:val="000000" w:themeColor="text1"/>
          <w:u w:color="000000" w:themeColor="text1"/>
        </w:rPr>
        <w:t xml:space="preserve">, </w:t>
      </w:r>
      <w:r w:rsidR="008A543E" w:rsidRPr="003C7D90">
        <w:rPr>
          <w:color w:val="000000" w:themeColor="text1"/>
          <w:u w:color="000000" w:themeColor="text1"/>
        </w:rPr>
        <w:t xml:space="preserve">Article X, </w:t>
      </w:r>
      <w:r w:rsidRPr="003C7D90">
        <w:rPr>
          <w:color w:val="000000" w:themeColor="text1"/>
          <w:u w:color="000000" w:themeColor="text1"/>
        </w:rPr>
        <w:t>of the Constitution of this State.</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B83404" w:rsidRPr="00B83404">
        <w:rPr>
          <w:color w:val="000000" w:themeColor="text1"/>
          <w:u w:color="000000" w:themeColor="text1"/>
        </w:rPr>
        <w:t>‘</w:t>
      </w:r>
      <w:r w:rsidRPr="003C7D90">
        <w:rPr>
          <w:color w:val="000000" w:themeColor="text1"/>
          <w:u w:color="000000" w:themeColor="text1"/>
        </w:rPr>
        <w:t>Off</w:t>
      </w:r>
      <w:r w:rsidR="00B83404">
        <w:rPr>
          <w:color w:val="000000" w:themeColor="text1"/>
          <w:u w:color="000000" w:themeColor="text1"/>
        </w:rPr>
        <w:noBreakHyphen/>
      </w:r>
      <w:r w:rsidRPr="003C7D90">
        <w:rPr>
          <w:color w:val="000000" w:themeColor="text1"/>
          <w:u w:color="000000" w:themeColor="text1"/>
        </w:rPr>
        <w:t>pr</w:t>
      </w:r>
      <w:r w:rsidR="006C631D">
        <w:rPr>
          <w:color w:val="000000" w:themeColor="text1"/>
          <w:u w:color="000000" w:themeColor="text1"/>
        </w:rPr>
        <w:t>emises outdoor advertising sign</w:t>
      </w:r>
      <w:r w:rsidR="00B83404" w:rsidRPr="00B83404">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B83404" w:rsidRPr="00B83404">
        <w:rPr>
          <w:color w:val="000000" w:themeColor="text1"/>
          <w:u w:color="000000" w:themeColor="text1"/>
        </w:rPr>
        <w:t>‘</w:t>
      </w:r>
      <w:r w:rsidRPr="003C7D90">
        <w:rPr>
          <w:color w:val="000000" w:themeColor="text1"/>
          <w:u w:color="000000" w:themeColor="text1"/>
        </w:rPr>
        <w:t>Sign owner</w:t>
      </w:r>
      <w:r w:rsidR="00B83404" w:rsidRPr="00B83404">
        <w:rPr>
          <w:color w:val="000000" w:themeColor="text1"/>
          <w:u w:color="000000" w:themeColor="text1"/>
        </w:rPr>
        <w:t>’</w:t>
      </w:r>
      <w:r w:rsidRPr="003C7D90">
        <w:rPr>
          <w:color w:val="000000" w:themeColor="text1"/>
          <w:u w:color="000000" w:themeColor="text1"/>
        </w:rPr>
        <w:t xml:space="preserve"> means the owner of an off</w:t>
      </w:r>
      <w:r w:rsidR="00B83404">
        <w:rPr>
          <w:color w:val="000000" w:themeColor="text1"/>
          <w:u w:color="000000" w:themeColor="text1"/>
        </w:rPr>
        <w:noBreakHyphen/>
      </w:r>
      <w:r w:rsidRPr="003C7D90">
        <w:rPr>
          <w:color w:val="000000" w:themeColor="text1"/>
          <w:u w:color="000000" w:themeColor="text1"/>
        </w:rPr>
        <w:t>premises outdoor advertising sign.”</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SECTION</w:t>
      </w:r>
      <w:r w:rsidRPr="003C7D90">
        <w:rPr>
          <w:color w:val="000000" w:themeColor="text1"/>
          <w:u w:color="000000" w:themeColor="text1"/>
        </w:rPr>
        <w:tab/>
        <w:t>2.</w:t>
      </w:r>
      <w:r w:rsidRPr="003C7D90">
        <w:rPr>
          <w:color w:val="000000" w:themeColor="text1"/>
          <w:u w:color="000000" w:themeColor="text1"/>
        </w:rPr>
        <w:tab/>
        <w:t>This act takes effect upon approval by the Governor and first applies to property tax years after 2014.  County tax officials shall adjust values and assessment ratios to reflect the provisions of this act, but no refund is allowed on account of the provisions of this act.</w:t>
      </w:r>
    </w:p>
    <w:p w:rsidR="00945CBE" w:rsidRDefault="00B83404" w:rsidP="00A63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669" w:rsidRDefault="00AE2669" w:rsidP="00AE2669">
      <w:pPr>
        <w:suppressAutoHyphens/>
      </w:pPr>
    </w:p>
    <w:sectPr w:rsidR="00AE2669" w:rsidSect="00AE26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F45" w:rsidRDefault="00B82F45" w:rsidP="009F0C77">
      <w:r>
        <w:separator/>
      </w:r>
    </w:p>
  </w:endnote>
  <w:endnote w:type="continuationSeparator" w:id="0">
    <w:p w:rsidR="00B82F45" w:rsidRDefault="00B82F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F96164-A0A1-4D69-8D75-47DFEF46C6BC}"/>
    <w:embedBold r:id="rId2" w:fontKey="{D785E57A-6778-460D-B677-3888CE2BA8AD}"/>
  </w:font>
  <w:font w:name="Calibri">
    <w:panose1 w:val="020F0502020204030204"/>
    <w:charset w:val="00"/>
    <w:family w:val="swiss"/>
    <w:pitch w:val="variable"/>
    <w:sig w:usb0="E00002FF" w:usb1="4000ACFF" w:usb2="00000001" w:usb3="00000000" w:csb0="0000019F" w:csb1="00000000"/>
    <w:embedRegular r:id="rId3" w:fontKey="{F9101523-9B89-4F69-B595-986DC3BC1353}"/>
  </w:font>
  <w:font w:name="Cambria">
    <w:panose1 w:val="02040503050406030204"/>
    <w:charset w:val="00"/>
    <w:family w:val="roman"/>
    <w:pitch w:val="variable"/>
    <w:sig w:usb0="E00002FF" w:usb1="400004FF" w:usb2="00000000" w:usb3="00000000" w:csb0="0000019F" w:csb1="00000000"/>
    <w:embedRegular r:id="rId4" w:fontKey="{BC0FC18E-8867-4BDA-A3C3-C1E6554063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69" w:rsidRPr="008B0DB2" w:rsidRDefault="00AE2669" w:rsidP="008B0DB2">
    <w:pPr>
      <w:pStyle w:val="Footer"/>
      <w:tabs>
        <w:tab w:val="clear" w:pos="4680"/>
        <w:tab w:val="clear" w:pos="9360"/>
        <w:tab w:val="center" w:pos="2995"/>
      </w:tabs>
      <w:spacing w:before="120"/>
    </w:pPr>
    <w:r>
      <w:t>[995]</w:t>
    </w:r>
    <w:r>
      <w:tab/>
    </w:r>
    <w:r>
      <w:fldChar w:fldCharType="begin"/>
    </w:r>
    <w:r>
      <w:instrText xml:space="preserve"> PAGE  \* MERGEFORMAT </w:instrText>
    </w:r>
    <w:r>
      <w:fldChar w:fldCharType="separate"/>
    </w:r>
    <w:r w:rsidR="009946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F45" w:rsidRDefault="00B82F45" w:rsidP="009F0C77">
      <w:r>
        <w:separator/>
      </w:r>
    </w:p>
  </w:footnote>
  <w:footnote w:type="continuationSeparator" w:id="0">
    <w:p w:rsidR="00B82F45" w:rsidRDefault="00B82F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98DG16"/>
    <w:docVar w:name="CoverBillType" w:val="b"/>
    <w:docVar w:name="docpath" w:val="L:\Council\bills\BBM\9398DG16.DOCX"/>
    <w:docVar w:name="dvBillNumber" w:val="995"/>
    <w:docVar w:name="dvBillNumberPrefix" w:val="S. "/>
    <w:docVar w:name="dvOriginalBody" w:val="Senate"/>
    <w:docVar w:name="dvSteno" w:val="BBM"/>
    <w:docVar w:name="NameofBody" w:val="s"/>
    <w:docVar w:name="vgroup2" w:val="Council"/>
  </w:docVars>
  <w:rsids>
    <w:rsidRoot w:val="00B82F45"/>
    <w:rsid w:val="0000691F"/>
    <w:rsid w:val="00026C9A"/>
    <w:rsid w:val="000965A1"/>
    <w:rsid w:val="000D6340"/>
    <w:rsid w:val="000E1785"/>
    <w:rsid w:val="000F39F2"/>
    <w:rsid w:val="001023A4"/>
    <w:rsid w:val="00106604"/>
    <w:rsid w:val="0010776B"/>
    <w:rsid w:val="00133E66"/>
    <w:rsid w:val="00134ACF"/>
    <w:rsid w:val="00144E15"/>
    <w:rsid w:val="001917E2"/>
    <w:rsid w:val="001A4A62"/>
    <w:rsid w:val="001A681E"/>
    <w:rsid w:val="001D08F2"/>
    <w:rsid w:val="002037CA"/>
    <w:rsid w:val="002047A2"/>
    <w:rsid w:val="002321B6"/>
    <w:rsid w:val="0023696B"/>
    <w:rsid w:val="00250967"/>
    <w:rsid w:val="002759C5"/>
    <w:rsid w:val="00277DEE"/>
    <w:rsid w:val="00280D88"/>
    <w:rsid w:val="00294ABE"/>
    <w:rsid w:val="002A3EB4"/>
    <w:rsid w:val="002C5364"/>
    <w:rsid w:val="00325348"/>
    <w:rsid w:val="00375554"/>
    <w:rsid w:val="00393688"/>
    <w:rsid w:val="003D411E"/>
    <w:rsid w:val="003E3C1E"/>
    <w:rsid w:val="003E6148"/>
    <w:rsid w:val="003E7180"/>
    <w:rsid w:val="00400EAA"/>
    <w:rsid w:val="0041760A"/>
    <w:rsid w:val="004203D7"/>
    <w:rsid w:val="004809EE"/>
    <w:rsid w:val="00511EE9"/>
    <w:rsid w:val="00521E00"/>
    <w:rsid w:val="00530971"/>
    <w:rsid w:val="00560BF6"/>
    <w:rsid w:val="00577C6C"/>
    <w:rsid w:val="0058501B"/>
    <w:rsid w:val="0061228A"/>
    <w:rsid w:val="006215AA"/>
    <w:rsid w:val="006340D9"/>
    <w:rsid w:val="00643B8E"/>
    <w:rsid w:val="00665EBC"/>
    <w:rsid w:val="0069470D"/>
    <w:rsid w:val="006A476C"/>
    <w:rsid w:val="006C631D"/>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A8F"/>
    <w:rsid w:val="008A543E"/>
    <w:rsid w:val="008B0DB2"/>
    <w:rsid w:val="008F4429"/>
    <w:rsid w:val="00932670"/>
    <w:rsid w:val="009352BB"/>
    <w:rsid w:val="00945CBE"/>
    <w:rsid w:val="00990668"/>
    <w:rsid w:val="009946B1"/>
    <w:rsid w:val="009B397B"/>
    <w:rsid w:val="009F0C77"/>
    <w:rsid w:val="009F4DD1"/>
    <w:rsid w:val="00A637BD"/>
    <w:rsid w:val="00A64E80"/>
    <w:rsid w:val="00A741D9"/>
    <w:rsid w:val="00A810DF"/>
    <w:rsid w:val="00A9741D"/>
    <w:rsid w:val="00AD4B17"/>
    <w:rsid w:val="00AE2669"/>
    <w:rsid w:val="00B26FA6"/>
    <w:rsid w:val="00B741CB"/>
    <w:rsid w:val="00B82F45"/>
    <w:rsid w:val="00B83404"/>
    <w:rsid w:val="00B934F3"/>
    <w:rsid w:val="00BB3C1D"/>
    <w:rsid w:val="00BB6347"/>
    <w:rsid w:val="00BD2134"/>
    <w:rsid w:val="00BF389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3F0D"/>
    <w:rsid w:val="00EB00A2"/>
    <w:rsid w:val="00EB1BF3"/>
    <w:rsid w:val="00EF3EEE"/>
    <w:rsid w:val="00F149A7"/>
    <w:rsid w:val="00F50BAF"/>
    <w:rsid w:val="00F52C10"/>
    <w:rsid w:val="00F81FFD"/>
    <w:rsid w:val="00F85228"/>
    <w:rsid w:val="00F9723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F9528-8B62-444E-98CD-3C27EE08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E2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95_2016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9BE52-1551-4E40-AACB-F88AB366E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595</Words>
  <Characters>3395</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995: Agriculture real property, mobile home, and lessee improvements - South Carolina Legislature Online</dc:title>
  <dc:subject/>
  <dc:creator>BRENDA MELTON</dc:creator>
  <cp:keywords/>
  <dc:description/>
  <cp:lastModifiedBy>N Cumfer</cp:lastModifiedBy>
  <cp:revision>2</cp:revision>
  <cp:lastPrinted>2016-01-14T15:12:00Z</cp:lastPrinted>
  <dcterms:created xsi:type="dcterms:W3CDTF">2016-12-02T17:23:00Z</dcterms:created>
  <dcterms:modified xsi:type="dcterms:W3CDTF">2016-12-02T17:23:00Z</dcterms:modified>
</cp:coreProperties>
</file>