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9BB"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316F" w:rsidRP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2321" w:rsidRDefault="00133FAD" w:rsidP="004B316F">
      <w:pPr>
        <w:tabs>
          <w:tab w:val="right" w:pos="5933"/>
        </w:tabs>
        <w:suppressAutoHyphens/>
        <w:jc w:val="both"/>
        <w:rPr>
          <w:rFonts w:eastAsia="Times New Roman"/>
        </w:rPr>
      </w:pPr>
      <w:r>
        <w:rPr>
          <w:rFonts w:eastAsia="Times New Roman"/>
        </w:rPr>
        <w:t>CONFERENCE COMMITTEE REPORT ADOPTED -- NOT PRINTED</w:t>
      </w:r>
    </w:p>
    <w:p w:rsidR="00133FAD" w:rsidRDefault="00133FAD" w:rsidP="004B316F">
      <w:pPr>
        <w:tabs>
          <w:tab w:val="right" w:pos="5933"/>
        </w:tabs>
        <w:suppressAutoHyphens/>
        <w:jc w:val="both"/>
        <w:rPr>
          <w:rFonts w:eastAsia="Times New Roman"/>
        </w:rPr>
      </w:pPr>
      <w:r>
        <w:rPr>
          <w:rFonts w:eastAsia="Times New Roman"/>
        </w:rPr>
        <w:t>June 3, 2015</w:t>
      </w:r>
    </w:p>
    <w:p w:rsidR="00133FAD" w:rsidRDefault="00133FAD" w:rsidP="004B316F">
      <w:pPr>
        <w:tabs>
          <w:tab w:val="right" w:pos="5933"/>
        </w:tabs>
        <w:suppressAutoHyphens/>
        <w:jc w:val="both"/>
        <w:rPr>
          <w:rFonts w:eastAsia="Times New Roman"/>
        </w:rPr>
      </w:pPr>
    </w:p>
    <w:p w:rsidR="004B316F" w:rsidRPr="004B316F" w:rsidRDefault="004B316F" w:rsidP="004B316F">
      <w:pPr>
        <w:tabs>
          <w:tab w:val="right" w:pos="5933"/>
        </w:tabs>
        <w:suppressAutoHyphens/>
        <w:jc w:val="both"/>
        <w:rPr>
          <w:rFonts w:eastAsia="Times New Roman"/>
        </w:rPr>
      </w:pPr>
      <w:r>
        <w:rPr>
          <w:rFonts w:eastAsia="Times New Roman"/>
        </w:rPr>
        <w:tab/>
      </w:r>
      <w:r>
        <w:rPr>
          <w:rFonts w:eastAsia="Times New Roman"/>
          <w:b/>
          <w:sz w:val="36"/>
        </w:rPr>
        <w:t>S. 183</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942321" w:rsidP="00272955">
      <w:pPr>
        <w:tabs>
          <w:tab w:val="right" w:pos="5933"/>
        </w:tabs>
        <w:suppressAutoHyphens/>
        <w:jc w:val="both"/>
        <w:rPr>
          <w:rFonts w:eastAsia="Times New Roman"/>
        </w:rPr>
      </w:pPr>
      <w:r>
        <w:rPr>
          <w:rFonts w:eastAsia="Times New Roman"/>
        </w:rPr>
        <w:t>S. Printed 5/14/15--S</w:t>
      </w:r>
      <w:r w:rsidR="004B316F">
        <w:rPr>
          <w:rFonts w:eastAsia="Times New Roman"/>
        </w:rPr>
        <w: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42321">
        <w:rPr>
          <w:rFonts w:eastAsia="Times New Roman"/>
        </w:rPr>
        <w:t>January 13</w:t>
      </w:r>
      <w:r>
        <w:rPr>
          <w:rFonts w:eastAsia="Times New Roman"/>
        </w:rPr>
        <w:t>, 2015.</w:t>
      </w:r>
    </w:p>
    <w:p w:rsidR="004B316F" w:rsidRP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316F"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133FAD"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E43A9">
        <w:rPr>
          <w:color w:val="000000" w:themeColor="text1"/>
          <w:u w:color="000000" w:themeColor="text1"/>
        </w:rPr>
        <w:t>TO AMEND THE CODE OF LAWS OF SOUTH CAROLINA, 1976, BY AMENDING SECTION 16</w:t>
      </w:r>
      <w:r w:rsidRPr="00EE43A9">
        <w:rPr>
          <w:color w:val="000000" w:themeColor="text1"/>
          <w:u w:color="000000" w:themeColor="text1"/>
        </w:rPr>
        <w:noBreakHyphen/>
        <w:t>3</w:t>
      </w:r>
      <w:r w:rsidRPr="00EE43A9">
        <w:rPr>
          <w:color w:val="000000" w:themeColor="text1"/>
          <w:u w:color="000000" w:themeColor="text1"/>
        </w:rPr>
        <w:noBreakHyphen/>
        <w:t xml:space="preserve">2010, RELATING TO HUMAN TRAFFICKING DEFINITIONS, SO AS TO DEFINE </w:t>
      </w:r>
      <w:r>
        <w:rPr>
          <w:color w:val="000000" w:themeColor="text1"/>
          <w:u w:color="000000" w:themeColor="text1"/>
        </w:rPr>
        <w:t>“</w:t>
      </w:r>
      <w:r w:rsidRPr="00EE43A9">
        <w:rPr>
          <w:color w:val="000000" w:themeColor="text1"/>
          <w:u w:color="000000" w:themeColor="text1"/>
        </w:rPr>
        <w:t>COERCION</w:t>
      </w:r>
      <w:r>
        <w:rPr>
          <w:color w:val="000000" w:themeColor="text1"/>
          <w:u w:color="000000" w:themeColor="text1"/>
        </w:rPr>
        <w:t>”</w:t>
      </w:r>
      <w:r w:rsidRPr="00EE43A9">
        <w:rPr>
          <w:color w:val="000000" w:themeColor="text1"/>
          <w:u w:color="000000" w:themeColor="text1"/>
        </w:rPr>
        <w:t>; BY AMENDING SECTION 16</w:t>
      </w:r>
      <w:r w:rsidRPr="00EE43A9">
        <w:rPr>
          <w:color w:val="000000" w:themeColor="text1"/>
          <w:u w:color="000000" w:themeColor="text1"/>
        </w:rPr>
        <w:noBreakHyphen/>
        <w:t>3</w:t>
      </w:r>
      <w:r w:rsidRPr="00EE43A9">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w:t>
      </w:r>
      <w:r>
        <w:rPr>
          <w:color w:val="000000" w:themeColor="text1"/>
          <w:u w:color="000000" w:themeColor="text1"/>
        </w:rPr>
        <w:t>’</w:t>
      </w:r>
      <w:r w:rsidRPr="00EE43A9">
        <w:rPr>
          <w:color w:val="000000" w:themeColor="text1"/>
          <w:u w:color="000000" w:themeColor="text1"/>
        </w:rPr>
        <w:t>S SEXUAL HISTORY IS NOT ADMISSIBLE BY A DEFENDANT IN A CRIMINAL ACTION; BY AMENDING SECTION 16</w:t>
      </w:r>
      <w:r w:rsidRPr="00EE43A9">
        <w:rPr>
          <w:color w:val="000000" w:themeColor="text1"/>
          <w:u w:color="000000" w:themeColor="text1"/>
        </w:rPr>
        <w:noBreakHyphen/>
        <w:t>3</w:t>
      </w:r>
      <w:r w:rsidRPr="00EE43A9">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EE43A9">
        <w:rPr>
          <w:color w:val="000000" w:themeColor="text1"/>
          <w:u w:color="000000" w:themeColor="text1"/>
        </w:rPr>
        <w:noBreakHyphen/>
        <w:t>3</w:t>
      </w:r>
      <w:r w:rsidRPr="00EE43A9">
        <w:rPr>
          <w:color w:val="000000" w:themeColor="text1"/>
          <w:u w:color="000000" w:themeColor="text1"/>
        </w:rPr>
        <w:noBreakHyphen/>
        <w:t>2040, RELATING TO HUMAN TRAFFICKING RESTITUTION, SO AS TO PROVIDE THAT THE COURT MAY ORDER AN AMOUNT REPRESENTING THE VALUE OF THE VICTIM</w:t>
      </w:r>
      <w:r>
        <w:rPr>
          <w:color w:val="000000" w:themeColor="text1"/>
          <w:u w:color="000000" w:themeColor="text1"/>
        </w:rPr>
        <w:t>’</w:t>
      </w:r>
      <w:r w:rsidRPr="00EE43A9">
        <w:rPr>
          <w:color w:val="000000" w:themeColor="text1"/>
          <w:u w:color="000000" w:themeColor="text1"/>
        </w:rPr>
        <w:t>S LABOR OR SERVICES; BY AMENDING SECTION 16</w:t>
      </w:r>
      <w:r w:rsidRPr="00EE43A9">
        <w:rPr>
          <w:color w:val="000000" w:themeColor="text1"/>
          <w:u w:color="000000" w:themeColor="text1"/>
        </w:rPr>
        <w:noBreakHyphen/>
        <w:t>3</w:t>
      </w:r>
      <w:r w:rsidRPr="00EE43A9">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EE43A9">
        <w:rPr>
          <w:color w:val="000000" w:themeColor="text1"/>
          <w:u w:color="000000" w:themeColor="text1"/>
        </w:rPr>
        <w:noBreakHyphen/>
        <w:t>3</w:t>
      </w:r>
      <w:r w:rsidRPr="00EE43A9">
        <w:rPr>
          <w:color w:val="000000" w:themeColor="text1"/>
          <w:u w:color="000000" w:themeColor="text1"/>
        </w:rPr>
        <w:noBreakHyphen/>
        <w:t xml:space="preserve">2060, </w:t>
      </w:r>
      <w:r w:rsidRPr="00EE43A9">
        <w:rPr>
          <w:color w:val="000000" w:themeColor="text1"/>
          <w:u w:color="000000" w:themeColor="text1"/>
        </w:rPr>
        <w:lastRenderedPageBreak/>
        <w:t>RELATING TO HUMAN TRAFFICKING CIVIL ACTIONS, SO AS TO PROVIDE THAT A VICTIM</w:t>
      </w:r>
      <w:r>
        <w:rPr>
          <w:color w:val="000000" w:themeColor="text1"/>
          <w:u w:color="000000" w:themeColor="text1"/>
        </w:rPr>
        <w:t>’</w:t>
      </w:r>
      <w:r w:rsidRPr="00EE43A9">
        <w:rPr>
          <w:color w:val="000000" w:themeColor="text1"/>
          <w:u w:color="000000" w:themeColor="text1"/>
        </w:rPr>
        <w:t>S SEXUAL HISTORY IS NOT ADMISSIBLE BY A DEFENDANT IN A CIVIL ACTION; BY AMENDING SECTION 16</w:t>
      </w:r>
      <w:r w:rsidRPr="00EE43A9">
        <w:rPr>
          <w:color w:val="000000" w:themeColor="text1"/>
          <w:u w:color="000000" w:themeColor="text1"/>
        </w:rPr>
        <w:noBreakHyphen/>
        <w:t>3</w:t>
      </w:r>
      <w:r w:rsidRPr="00EE43A9">
        <w:rPr>
          <w:color w:val="000000" w:themeColor="text1"/>
          <w:u w:color="000000" w:themeColor="text1"/>
        </w:rPr>
        <w:noBreakHyphen/>
        <w:t>2070, RELATING TO VICTIMS</w:t>
      </w:r>
      <w:r>
        <w:rPr>
          <w:color w:val="000000" w:themeColor="text1"/>
          <w:u w:color="000000" w:themeColor="text1"/>
        </w:rPr>
        <w:t>’</w:t>
      </w:r>
      <w:r w:rsidRPr="00EE43A9">
        <w:rPr>
          <w:color w:val="000000" w:themeColor="text1"/>
          <w:u w:color="000000" w:themeColor="text1"/>
        </w:rPr>
        <w:t xml:space="preserve"> RIGHTS AND THE STATE CRIME VICTIM</w:t>
      </w:r>
      <w:r>
        <w:rPr>
          <w:color w:val="000000" w:themeColor="text1"/>
          <w:u w:color="000000" w:themeColor="text1"/>
        </w:rPr>
        <w:t>’</w:t>
      </w:r>
      <w:r w:rsidRPr="00EE43A9">
        <w:rPr>
          <w:color w:val="000000" w:themeColor="text1"/>
          <w:u w:color="000000" w:themeColor="text1"/>
        </w:rPr>
        <w:t>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EE43A9">
        <w:rPr>
          <w:color w:val="000000" w:themeColor="text1"/>
          <w:u w:color="000000" w:themeColor="text1"/>
        </w:rPr>
        <w:noBreakHyphen/>
        <w:t>3</w:t>
      </w:r>
      <w:r w:rsidRPr="00EE43A9">
        <w:rPr>
          <w:color w:val="000000" w:themeColor="text1"/>
          <w:u w:color="000000" w:themeColor="text1"/>
        </w:rPr>
        <w:noBreakHyphen/>
        <w:t>2100, SO AS TO REQUIRE THE POSTING OF INFORMATION REGARDING THE NATIONAL HUMAN TRAFFICKING RESOURCE CENTER HOTLINE IN CERTAIN BUSINESSES.</w:t>
      </w:r>
      <w:bookmarkEnd w:id="1"/>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SECTION</w:t>
      </w:r>
      <w:r w:rsidRPr="006C536A">
        <w:rPr>
          <w:color w:val="000000" w:themeColor="text1"/>
          <w:u w:color="000000" w:themeColor="text1"/>
        </w:rPr>
        <w:tab/>
        <w:t>1.</w:t>
      </w:r>
      <w:r w:rsidRPr="006C536A">
        <w:rPr>
          <w:color w:val="000000" w:themeColor="text1"/>
          <w:u w:color="000000" w:themeColor="text1"/>
        </w:rPr>
        <w:tab/>
        <w:t>Section 16</w:t>
      </w:r>
      <w:r w:rsidRPr="006C536A">
        <w:rPr>
          <w:color w:val="000000" w:themeColor="text1"/>
          <w:u w:color="000000" w:themeColor="text1"/>
        </w:rPr>
        <w:noBreakHyphen/>
        <w:t>3</w:t>
      </w:r>
      <w:r w:rsidRPr="006C536A">
        <w:rPr>
          <w:color w:val="000000" w:themeColor="text1"/>
          <w:u w:color="000000" w:themeColor="text1"/>
        </w:rPr>
        <w:noBreakHyphen/>
        <w:t>2020 of the 1976 Code is amended to read:</w:t>
      </w: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“Section 16</w:t>
      </w:r>
      <w:r w:rsidRPr="006C536A">
        <w:rPr>
          <w:color w:val="000000" w:themeColor="text1"/>
          <w:u w:color="000000" w:themeColor="text1"/>
        </w:rPr>
        <w:noBreakHyphen/>
        <w:t>3</w:t>
      </w:r>
      <w:r w:rsidRPr="006C536A">
        <w:rPr>
          <w:color w:val="000000" w:themeColor="text1"/>
          <w:u w:color="000000" w:themeColor="text1"/>
        </w:rPr>
        <w:noBreakHyphen/>
        <w:t>2020.</w:t>
      </w:r>
      <w:r w:rsidRPr="006C536A">
        <w:rPr>
          <w:color w:val="000000" w:themeColor="text1"/>
          <w:u w:color="000000" w:themeColor="text1"/>
        </w:rPr>
        <w:tab/>
        <w:t>(A)</w:t>
      </w:r>
      <w:r w:rsidRPr="006C536A">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(B)</w:t>
      </w:r>
      <w:r w:rsidRPr="006C536A">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(C)</w:t>
      </w:r>
      <w:r w:rsidRPr="006C536A">
        <w:rPr>
          <w:color w:val="000000" w:themeColor="text1"/>
          <w:u w:color="000000" w:themeColor="text1"/>
        </w:rPr>
        <w:tab/>
        <w:t>For a first offense, the person is guilty of a felony and, upon conviction, must be imprisoned not more than fifteen years.</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(D)</w:t>
      </w:r>
      <w:r w:rsidRPr="006C536A">
        <w:rPr>
          <w:color w:val="000000" w:themeColor="text1"/>
          <w:u w:color="000000" w:themeColor="text1"/>
        </w:rPr>
        <w:tab/>
        <w:t>For a second offense, the person is guilty of a felony and, upon conviction, must be imprisoned not more than thirty years.</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lastRenderedPageBreak/>
        <w:tab/>
        <w:t>(E)</w:t>
      </w:r>
      <w:r w:rsidRPr="006C536A">
        <w:rPr>
          <w:color w:val="000000" w:themeColor="text1"/>
          <w:u w:color="000000" w:themeColor="text1"/>
        </w:rPr>
        <w:tab/>
        <w:t>For a third or subsequent offense, the person is guilty of a felony, and, upon conviction, must be imprisoned not more than forty</w:t>
      </w:r>
      <w:r w:rsidRPr="006C536A">
        <w:rPr>
          <w:color w:val="000000" w:themeColor="text1"/>
          <w:u w:color="000000" w:themeColor="text1"/>
        </w:rPr>
        <w:noBreakHyphen/>
        <w:t>five years.</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(F)</w:t>
      </w:r>
      <w:r w:rsidRPr="006C536A">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(G)</w:t>
      </w:r>
      <w:r w:rsidRPr="006C536A">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6C536A">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6C536A">
        <w:rPr>
          <w:color w:val="000000" w:themeColor="text1"/>
          <w:u w:color="000000" w:themeColor="text1"/>
        </w:rPr>
        <w:t xml:space="preserve"> </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(H)</w:t>
      </w:r>
      <w:r w:rsidRPr="006C536A">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(I)</w:t>
      </w:r>
      <w:r w:rsidRPr="006C536A">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6C536A">
        <w:rPr>
          <w:color w:val="000000" w:themeColor="text1"/>
          <w:u w:color="000000" w:themeColor="text1"/>
        </w:rPr>
        <w:noBreakHyphen/>
        <w:t>3</w:t>
      </w:r>
      <w:r w:rsidRPr="006C536A">
        <w:rPr>
          <w:color w:val="000000" w:themeColor="text1"/>
          <w:u w:color="000000" w:themeColor="text1"/>
        </w:rPr>
        <w:noBreakHyphen/>
        <w:t>1110.</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(J)</w:t>
      </w:r>
      <w:r w:rsidRPr="006C536A">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6C536A">
        <w:rPr>
          <w:color w:val="000000" w:themeColor="text1"/>
        </w:rPr>
        <w:t xml:space="preserve">.  </w:t>
      </w:r>
      <w:r w:rsidRPr="006C536A">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6C536A">
        <w:rPr>
          <w:color w:val="000000" w:themeColor="text1"/>
          <w:u w:color="000000" w:themeColor="text1"/>
        </w:rPr>
        <w:t xml:space="preserve"> </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(K)</w:t>
      </w:r>
      <w:r w:rsidRPr="006C536A">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133FAD" w:rsidRPr="000E6E38"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r>
      <w:r w:rsidRPr="006C536A">
        <w:rPr>
          <w:color w:val="000000" w:themeColor="text1"/>
          <w:u w:color="000000" w:themeColor="text1"/>
        </w:rPr>
        <w:tab/>
      </w:r>
      <w:r w:rsidRPr="000E6E38">
        <w:rPr>
          <w:color w:val="000000" w:themeColor="text1"/>
          <w:u w:color="000000" w:themeColor="text1"/>
        </w:rPr>
        <w:t>(1)</w:t>
      </w:r>
      <w:r w:rsidRPr="000E6E38">
        <w:rPr>
          <w:color w:val="000000" w:themeColor="text1"/>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lastRenderedPageBreak/>
        <w:tab/>
      </w:r>
      <w:r w:rsidRPr="006C536A">
        <w:rPr>
          <w:color w:val="000000" w:themeColor="text1"/>
          <w:u w:color="000000" w:themeColor="text1"/>
        </w:rPr>
        <w:tab/>
      </w:r>
      <w:r w:rsidRPr="000E6E38">
        <w:rPr>
          <w:color w:val="000000" w:themeColor="text1"/>
          <w:u w:color="000000" w:themeColor="text1"/>
        </w:rPr>
        <w:t>(2)</w:t>
      </w:r>
      <w:r w:rsidRPr="006C536A">
        <w:rPr>
          <w:color w:val="000000" w:themeColor="text1"/>
          <w:u w:color="000000" w:themeColor="text1"/>
        </w:rPr>
        <w:tab/>
        <w:t>the victim’s connection by blood or marriage to a defendant in the case or to anyone involved in the victim’s trafficking;</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r>
      <w:r w:rsidRPr="006C536A">
        <w:rPr>
          <w:color w:val="000000" w:themeColor="text1"/>
          <w:u w:color="000000" w:themeColor="text1"/>
        </w:rPr>
        <w:tab/>
      </w:r>
      <w:r w:rsidRPr="000E6E38">
        <w:rPr>
          <w:color w:val="000000" w:themeColor="text1"/>
          <w:u w:color="000000" w:themeColor="text1"/>
        </w:rPr>
        <w:t>(3)</w:t>
      </w:r>
      <w:r w:rsidRPr="006C536A">
        <w:rPr>
          <w:color w:val="000000" w:themeColor="text1"/>
          <w:u w:color="000000" w:themeColor="text1"/>
        </w:rPr>
        <w:tab/>
        <w:t>the implied or express consent of a victim to acts which violate the provisions of this section do not constitute a defense to violations of this section;</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r>
      <w:r w:rsidRPr="006C536A">
        <w:rPr>
          <w:color w:val="000000" w:themeColor="text1"/>
          <w:u w:color="000000" w:themeColor="text1"/>
        </w:rPr>
        <w:tab/>
      </w:r>
      <w:r w:rsidRPr="000E6E38">
        <w:rPr>
          <w:color w:val="000000" w:themeColor="text1"/>
          <w:u w:color="000000" w:themeColor="text1"/>
        </w:rPr>
        <w:t>(4)</w:t>
      </w:r>
      <w:r w:rsidRPr="006C536A">
        <w:rPr>
          <w:color w:val="000000" w:themeColor="text1"/>
          <w:u w:color="000000" w:themeColor="text1"/>
        </w:rPr>
        <w:tab/>
        <w:t>age of consent to sex, legal age of marriage, or other discretionary age;  and</w:t>
      </w:r>
    </w:p>
    <w:p w:rsidR="00133FAD" w:rsidRPr="006C536A"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r>
      <w:r w:rsidRPr="006C536A">
        <w:rPr>
          <w:color w:val="000000" w:themeColor="text1"/>
          <w:u w:color="000000" w:themeColor="text1"/>
        </w:rPr>
        <w:tab/>
      </w:r>
      <w:r w:rsidRPr="000E6E38">
        <w:rPr>
          <w:color w:val="000000" w:themeColor="text1"/>
          <w:u w:color="000000" w:themeColor="text1"/>
        </w:rPr>
        <w:t>(5)</w:t>
      </w:r>
      <w:r w:rsidRPr="006C536A">
        <w:rPr>
          <w:color w:val="000000" w:themeColor="text1"/>
          <w:u w:color="000000" w:themeColor="text1"/>
        </w:rPr>
        <w:tab/>
        <w:t>mistake as to the victim’s age, even if the mistake is reasonable.</w:t>
      </w: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r>
      <w:r w:rsidRPr="000E6E38">
        <w:rPr>
          <w:color w:val="000000" w:themeColor="text1"/>
          <w:u w:color="000000" w:themeColor="text1"/>
        </w:rPr>
        <w:t>(L)</w:t>
      </w:r>
      <w:r w:rsidRPr="006C536A">
        <w:rPr>
          <w:color w:val="000000" w:themeColor="text1"/>
          <w:u w:color="000000" w:themeColor="text1"/>
        </w:rPr>
        <w:tab/>
        <w:t>A person who violates the provisions of this section may be prosecuted by the State Grand Jury, pursuant to Section 14</w:t>
      </w:r>
      <w:r w:rsidRPr="006C536A">
        <w:rPr>
          <w:color w:val="000000" w:themeColor="text1"/>
          <w:u w:color="000000" w:themeColor="text1"/>
        </w:rPr>
        <w:noBreakHyphen/>
        <w:t>7</w:t>
      </w:r>
      <w:r w:rsidRPr="006C536A">
        <w:rPr>
          <w:color w:val="000000" w:themeColor="text1"/>
          <w:u w:color="000000" w:themeColor="text1"/>
        </w:rPr>
        <w:noBreakHyphen/>
        <w:t>1600, when a victim is trafficked in more than one county or a trafficker commits the offense of trafficking in persons in more than one county.”</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C536A">
        <w:rPr>
          <w:color w:val="000000" w:themeColor="text1"/>
          <w:u w:color="000000" w:themeColor="text1"/>
        </w:rPr>
        <w:t>2.</w:t>
      </w:r>
      <w:r w:rsidRPr="006C536A">
        <w:rPr>
          <w:color w:val="000000" w:themeColor="text1"/>
          <w:u w:color="000000" w:themeColor="text1"/>
        </w:rPr>
        <w:tab/>
        <w:t>Section 16</w:t>
      </w:r>
      <w:r w:rsidRPr="006C536A">
        <w:rPr>
          <w:color w:val="000000" w:themeColor="text1"/>
          <w:u w:color="000000" w:themeColor="text1"/>
        </w:rPr>
        <w:noBreakHyphen/>
        <w:t>3</w:t>
      </w:r>
      <w:r w:rsidRPr="006C536A">
        <w:rPr>
          <w:color w:val="000000" w:themeColor="text1"/>
          <w:u w:color="000000" w:themeColor="text1"/>
        </w:rPr>
        <w:noBreakHyphen/>
        <w:t>2030(A) of the 1976 Code is amended to read:</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“(A)</w:t>
      </w:r>
      <w:r w:rsidRPr="006C536A">
        <w:rPr>
          <w:color w:val="000000" w:themeColor="text1"/>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6C536A">
        <w:rPr>
          <w:color w:val="000000" w:themeColor="text1"/>
          <w:u w:val="single" w:color="000000" w:themeColor="text1"/>
        </w:rPr>
        <w:t>In addition, the court may consider disgorgement of profit from activity in violation of this article and disbarment from state and local government contracts.</w:t>
      </w:r>
      <w:r w:rsidRPr="006C536A">
        <w:rPr>
          <w:color w:val="000000" w:themeColor="text1"/>
          <w:u w:color="000000" w:themeColor="text1"/>
        </w:rPr>
        <w:t>”</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C536A">
        <w:rPr>
          <w:color w:val="000000" w:themeColor="text1"/>
          <w:u w:color="000000" w:themeColor="text1"/>
        </w:rPr>
        <w:t>3.</w:t>
      </w:r>
      <w:r w:rsidRPr="006C536A">
        <w:rPr>
          <w:color w:val="000000" w:themeColor="text1"/>
          <w:u w:color="000000" w:themeColor="text1"/>
        </w:rPr>
        <w:tab/>
        <w:t>Section 16</w:t>
      </w:r>
      <w:r w:rsidRPr="006C536A">
        <w:rPr>
          <w:color w:val="000000" w:themeColor="text1"/>
          <w:u w:color="000000" w:themeColor="text1"/>
        </w:rPr>
        <w:noBreakHyphen/>
        <w:t>3</w:t>
      </w:r>
      <w:r w:rsidRPr="006C536A">
        <w:rPr>
          <w:color w:val="000000" w:themeColor="text1"/>
          <w:u w:color="000000" w:themeColor="text1"/>
        </w:rPr>
        <w:noBreakHyphen/>
        <w:t>2040(D) of the 1976 Code is amended to read:</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“(D)</w:t>
      </w:r>
      <w:r w:rsidRPr="006C536A">
        <w:rPr>
          <w:color w:val="000000" w:themeColor="text1"/>
          <w:u w:color="000000" w:themeColor="text1"/>
        </w:rPr>
        <w:tab/>
        <w:t>Restitution for this section, pursuant to Section 16</w:t>
      </w:r>
      <w:r w:rsidRPr="006C536A">
        <w:rPr>
          <w:color w:val="000000" w:themeColor="text1"/>
          <w:u w:color="000000" w:themeColor="text1"/>
        </w:rPr>
        <w:noBreakHyphen/>
        <w:t>3</w:t>
      </w:r>
      <w:r w:rsidRPr="006C536A">
        <w:rPr>
          <w:color w:val="000000" w:themeColor="text1"/>
          <w:u w:color="000000" w:themeColor="text1"/>
        </w:rPr>
        <w:noBreakHyphen/>
        <w:t>1270, means payment for all injuries, specific losses, and expenses</w:t>
      </w:r>
      <w:r w:rsidRPr="006C536A">
        <w:rPr>
          <w:color w:val="000000" w:themeColor="text1"/>
          <w:u w:val="single" w:color="000000" w:themeColor="text1"/>
        </w:rPr>
        <w:t>, including, but not limited to, attorney’s fees,</w:t>
      </w:r>
      <w:r w:rsidRPr="006C536A">
        <w:rPr>
          <w:color w:val="000000" w:themeColor="text1"/>
          <w:u w:color="000000" w:themeColor="text1"/>
        </w:rPr>
        <w:t xml:space="preserve"> sustained by a crime victim resulting from an offender’s criminal conduct pursuant to Section 16</w:t>
      </w:r>
      <w:r w:rsidRPr="006C536A">
        <w:rPr>
          <w:color w:val="000000" w:themeColor="text1"/>
          <w:u w:color="000000" w:themeColor="text1"/>
        </w:rPr>
        <w:noBreakHyphen/>
        <w:t>3</w:t>
      </w:r>
      <w:r w:rsidRPr="006C536A">
        <w:rPr>
          <w:color w:val="000000" w:themeColor="text1"/>
          <w:u w:color="000000" w:themeColor="text1"/>
        </w:rPr>
        <w:noBreakHyphen/>
        <w:t xml:space="preserve">1110(12)(a).  </w:t>
      </w:r>
      <w:r w:rsidRPr="006C536A">
        <w:rPr>
          <w:color w:val="000000" w:themeColor="text1"/>
          <w:u w:val="single" w:color="000000" w:themeColor="text1"/>
        </w:rPr>
        <w:t>In addition, the court may order an amount representing the value of the victim’s labor or services.</w:t>
      </w:r>
      <w:r w:rsidRPr="006C536A">
        <w:rPr>
          <w:color w:val="000000" w:themeColor="text1"/>
          <w:u w:color="000000" w:themeColor="text1"/>
        </w:rPr>
        <w:t>”</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C536A">
        <w:rPr>
          <w:color w:val="000000" w:themeColor="text1"/>
          <w:u w:color="000000" w:themeColor="text1"/>
        </w:rPr>
        <w:t>4.</w:t>
      </w:r>
      <w:r w:rsidRPr="006C536A">
        <w:rPr>
          <w:color w:val="000000" w:themeColor="text1"/>
          <w:u w:color="000000" w:themeColor="text1"/>
        </w:rPr>
        <w:tab/>
        <w:t>Section 16</w:t>
      </w:r>
      <w:r w:rsidRPr="006C536A">
        <w:rPr>
          <w:color w:val="000000" w:themeColor="text1"/>
          <w:u w:color="000000" w:themeColor="text1"/>
        </w:rPr>
        <w:noBreakHyphen/>
        <w:t>3</w:t>
      </w:r>
      <w:r w:rsidRPr="006C536A">
        <w:rPr>
          <w:color w:val="000000" w:themeColor="text1"/>
          <w:u w:color="000000" w:themeColor="text1"/>
        </w:rPr>
        <w:noBreakHyphen/>
        <w:t>2050 of the 1976 Code is amended by adding an appropriately numbered subsection to read:</w:t>
      </w:r>
    </w:p>
    <w:p w:rsidR="007A3B28" w:rsidRDefault="007A3B28"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536A">
        <w:rPr>
          <w:color w:val="000000" w:themeColor="text1"/>
          <w:u w:color="000000" w:themeColor="text1"/>
        </w:rPr>
        <w:tab/>
        <w:t>“</w:t>
      </w:r>
      <w:r w:rsidRPr="006C536A">
        <w:rPr>
          <w:color w:val="000000" w:themeColor="text1"/>
          <w:u w:val="single" w:color="000000" w:themeColor="text1"/>
        </w:rPr>
        <w:t>( )</w:t>
      </w:r>
      <w:r w:rsidRPr="006C536A">
        <w:rPr>
          <w:color w:val="000000" w:themeColor="text1"/>
          <w:u w:color="000000" w:themeColor="text1"/>
        </w:rPr>
        <w:tab/>
      </w:r>
      <w:r w:rsidRPr="006C536A">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6C536A">
        <w:rPr>
          <w:color w:val="000000" w:themeColor="text1"/>
          <w:u w:color="000000" w:themeColor="text1"/>
        </w:rPr>
        <w:t>”</w:t>
      </w:r>
    </w:p>
    <w:p w:rsidR="00F11925" w:rsidRDefault="00F11925"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6C536A">
        <w:rPr>
          <w:color w:val="000000" w:themeColor="text1"/>
          <w:u w:color="000000" w:themeColor="text1"/>
        </w:rPr>
        <w:t>.</w:t>
      </w:r>
      <w:r w:rsidRPr="006C536A">
        <w:rPr>
          <w:color w:val="000000" w:themeColor="text1"/>
          <w:u w:color="000000" w:themeColor="text1"/>
        </w:rPr>
        <w:tab/>
        <w:t xml:space="preserve">If any section, subsection, item, subitem, paragraph, subparagraph, sentence, clause, phrase, or word of this act is for any reason held to be </w:t>
      </w:r>
      <w:r w:rsidRPr="006C536A">
        <w:rPr>
          <w:noProof/>
          <w:color w:val="000000" w:themeColor="text1"/>
          <w:u w:color="000000" w:themeColor="text1"/>
        </w:rPr>
        <w:t>unconstitutional</w:t>
      </w:r>
      <w:r w:rsidRPr="006C536A">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F11925" w:rsidRDefault="00F11925" w:rsidP="0013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FAD" w:rsidRDefault="00133FAD" w:rsidP="00186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SECTION</w:t>
      </w:r>
      <w:r>
        <w:rPr>
          <w:color w:val="000000" w:themeColor="text1"/>
          <w:u w:color="000000" w:themeColor="text1"/>
        </w:rPr>
        <w:tab/>
        <w:t>6</w:t>
      </w:r>
      <w:r w:rsidRPr="006C536A">
        <w:rPr>
          <w:color w:val="000000" w:themeColor="text1"/>
          <w:u w:color="000000" w:themeColor="text1"/>
        </w:rPr>
        <w:t>.</w:t>
      </w:r>
      <w:r w:rsidRPr="006C536A">
        <w:rPr>
          <w:color w:val="000000" w:themeColor="text1"/>
          <w:u w:color="000000" w:themeColor="text1"/>
        </w:rPr>
        <w:tab/>
        <w:t>This act takes effect upon approval by the Governor.</w:t>
      </w:r>
      <w:r w:rsidRPr="00741CAB">
        <w:rPr>
          <w:rFonts w:eastAsia="Times New Roman"/>
          <w:szCs w:val="20"/>
        </w:rPr>
        <w:tab/>
      </w:r>
      <w:bookmarkStart w:id="5" w:name="Sen1"/>
      <w:bookmarkEnd w:id="5"/>
    </w:p>
    <w:p w:rsidR="00133FAD" w:rsidRDefault="00133FAD" w:rsidP="00133FAD">
      <w:pPr>
        <w:pStyle w:val="ConSign"/>
        <w:tabs>
          <w:tab w:val="clear" w:pos="216"/>
          <w:tab w:val="clear" w:pos="4680"/>
          <w:tab w:val="clear" w:pos="4896"/>
          <w:tab w:val="left" w:pos="187"/>
          <w:tab w:val="left" w:pos="3240"/>
          <w:tab w:val="left" w:pos="3427"/>
        </w:tabs>
        <w:spacing w:line="240" w:lineRule="auto"/>
      </w:pPr>
      <w:r>
        <w:t>/s/Sen. Robert W. Hayes, Jr</w:t>
      </w:r>
      <w:r>
        <w:tab/>
        <w:t>/s/Rep. Norman D. Brannon</w:t>
      </w:r>
    </w:p>
    <w:p w:rsidR="00133FAD" w:rsidRDefault="00133FAD" w:rsidP="00133FAD">
      <w:pPr>
        <w:pStyle w:val="ConSign"/>
        <w:tabs>
          <w:tab w:val="clear" w:pos="216"/>
          <w:tab w:val="clear" w:pos="4680"/>
          <w:tab w:val="clear" w:pos="4896"/>
          <w:tab w:val="left" w:pos="187"/>
          <w:tab w:val="left" w:pos="3240"/>
          <w:tab w:val="left" w:pos="3427"/>
        </w:tabs>
        <w:spacing w:line="240" w:lineRule="auto"/>
      </w:pPr>
      <w:r>
        <w:t>/s/Sen. C. Bradley Hutto</w:t>
      </w:r>
      <w:r>
        <w:tab/>
        <w:t>Rep. Christopher J. Murphy</w:t>
      </w:r>
    </w:p>
    <w:p w:rsidR="00133FAD" w:rsidRDefault="00133FAD" w:rsidP="00133FAD">
      <w:pPr>
        <w:pStyle w:val="ConSign"/>
        <w:tabs>
          <w:tab w:val="clear" w:pos="216"/>
          <w:tab w:val="clear" w:pos="4680"/>
          <w:tab w:val="clear" w:pos="4896"/>
          <w:tab w:val="left" w:pos="187"/>
          <w:tab w:val="left" w:pos="3240"/>
          <w:tab w:val="left" w:pos="3427"/>
        </w:tabs>
        <w:spacing w:line="240" w:lineRule="auto"/>
      </w:pPr>
      <w:r>
        <w:t>/s/Sen. Tom Young, Jr.</w:t>
      </w:r>
      <w:r>
        <w:tab/>
        <w:t>/s/Rep. J. David Weeks</w:t>
      </w:r>
    </w:p>
    <w:p w:rsidR="00133FAD" w:rsidRDefault="00133FAD" w:rsidP="00133FA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15A" w:rsidRDefault="00B6015A" w:rsidP="00B6015A">
      <w:pPr>
        <w:suppressAutoHyphens/>
        <w:jc w:val="both"/>
        <w:rPr>
          <w:rFonts w:eastAsia="Times New Roman"/>
        </w:rPr>
      </w:pPr>
    </w:p>
    <w:sectPr w:rsidR="00B6015A"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6C9948-1AE9-4BA0-AC06-3545DC1D2111}"/>
    <w:embedBold r:id="rId2" w:fontKey="{2A26F688-3E8A-49D6-B13A-0A30A6451A2E}"/>
  </w:font>
  <w:font w:name="Calibri">
    <w:panose1 w:val="020F0502020204030204"/>
    <w:charset w:val="00"/>
    <w:family w:val="swiss"/>
    <w:pitch w:val="variable"/>
    <w:sig w:usb0="E10002FF" w:usb1="4000ACFF" w:usb2="00000009" w:usb3="00000000" w:csb0="0000019F" w:csb1="00000000"/>
    <w:embedRegular r:id="rId3" w:fontKey="{A818ED05-0D9A-49DE-A75C-4D00034FBD1B}"/>
  </w:font>
  <w:font w:name="Cambria">
    <w:panose1 w:val="02040503050406030204"/>
    <w:charset w:val="00"/>
    <w:family w:val="roman"/>
    <w:pitch w:val="variable"/>
    <w:sig w:usb0="E00002FF" w:usb1="400004FF" w:usb2="00000000" w:usb3="00000000" w:csb0="0000019F" w:csb1="00000000"/>
    <w:embedRegular r:id="rId4" w:fontKey="{F614BF69-E8C2-48A9-A1A5-9649AA43A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B6015A">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B601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33FAD"/>
    <w:rsid w:val="0015372E"/>
    <w:rsid w:val="0016543B"/>
    <w:rsid w:val="00170561"/>
    <w:rsid w:val="001869A7"/>
    <w:rsid w:val="00186AC9"/>
    <w:rsid w:val="00190F47"/>
    <w:rsid w:val="00197DF1"/>
    <w:rsid w:val="001B3DD9"/>
    <w:rsid w:val="001C23C9"/>
    <w:rsid w:val="001D3BAC"/>
    <w:rsid w:val="001D7256"/>
    <w:rsid w:val="00206D3D"/>
    <w:rsid w:val="00221A5C"/>
    <w:rsid w:val="0024519E"/>
    <w:rsid w:val="00245C4E"/>
    <w:rsid w:val="00272955"/>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316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3B28"/>
    <w:rsid w:val="007A4390"/>
    <w:rsid w:val="007C65B0"/>
    <w:rsid w:val="007E3B8F"/>
    <w:rsid w:val="007E5CB7"/>
    <w:rsid w:val="00814EED"/>
    <w:rsid w:val="008314D2"/>
    <w:rsid w:val="008439BB"/>
    <w:rsid w:val="008804AE"/>
    <w:rsid w:val="00894939"/>
    <w:rsid w:val="008B2F42"/>
    <w:rsid w:val="008E185F"/>
    <w:rsid w:val="008E5870"/>
    <w:rsid w:val="008F023B"/>
    <w:rsid w:val="008F7524"/>
    <w:rsid w:val="00904E16"/>
    <w:rsid w:val="00927C62"/>
    <w:rsid w:val="00931A96"/>
    <w:rsid w:val="00942321"/>
    <w:rsid w:val="0096482A"/>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015A"/>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5510B"/>
    <w:rsid w:val="00D77EC0"/>
    <w:rsid w:val="00D86943"/>
    <w:rsid w:val="00DA47B9"/>
    <w:rsid w:val="00E677A1"/>
    <w:rsid w:val="00E91E2F"/>
    <w:rsid w:val="00EA3546"/>
    <w:rsid w:val="00EA4896"/>
    <w:rsid w:val="00EB1AAC"/>
    <w:rsid w:val="00EB47AE"/>
    <w:rsid w:val="00EC34E1"/>
    <w:rsid w:val="00ED0AE1"/>
    <w:rsid w:val="00F0234A"/>
    <w:rsid w:val="00F11925"/>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ConSign">
    <w:name w:val="ConSign"/>
    <w:basedOn w:val="Normal"/>
    <w:rsid w:val="00133FAD"/>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6DF3F507.dotm</Template>
  <TotalTime>0</TotalTime>
  <Pages>6</Pages>
  <Words>1557</Words>
  <Characters>7999</Characters>
  <Application>Microsoft Office Word</Application>
  <DocSecurity>0</DocSecurity>
  <Lines>213</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(Jun. 3, 2015) - South Carolina Legislature Online</dc:title>
  <dc:subject/>
  <dc:creator>LindseyKnipp</dc:creator>
  <cp:keywords/>
  <dc:description/>
  <cp:lastModifiedBy>Angela Hill</cp:lastModifiedBy>
  <cp:revision>2</cp:revision>
  <dcterms:created xsi:type="dcterms:W3CDTF">2015-06-03T16:03:00Z</dcterms:created>
  <dcterms:modified xsi:type="dcterms:W3CDTF">2015-06-03T16:03:00Z</dcterms:modified>
</cp:coreProperties>
</file>