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1392B" w:rsidRP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2016</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Pr="0051392B" w:rsidRDefault="0051392B" w:rsidP="0051392B">
      <w:pPr>
        <w:tabs>
          <w:tab w:val="right" w:pos="5933"/>
        </w:tabs>
        <w:suppressAutoHyphens/>
        <w:jc w:val="both"/>
        <w:rPr>
          <w:rFonts w:eastAsia="Times New Roman"/>
        </w:rPr>
      </w:pPr>
      <w:r>
        <w:rPr>
          <w:rFonts w:eastAsia="Times New Roman"/>
        </w:rPr>
        <w:tab/>
      </w:r>
      <w:r>
        <w:rPr>
          <w:rFonts w:eastAsia="Times New Roman"/>
          <w:b/>
          <w:sz w:val="36"/>
        </w:rPr>
        <w:t>S. 284</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443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820D1">
        <w:t>Senator Verdin</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2/25/16--S.</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1392B" w:rsidRP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1392B" w:rsidRP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284) to amend Section </w:t>
      </w:r>
      <w:r w:rsidRPr="0051392B">
        <w:rPr>
          <w:rFonts w:eastAsia="Times New Roman"/>
          <w:color w:val="000000" w:themeColor="text1"/>
          <w:u w:color="000000" w:themeColor="text1"/>
        </w:rPr>
        <w:t>39</w:t>
      </w:r>
      <w:r w:rsidRPr="0051392B">
        <w:rPr>
          <w:rFonts w:eastAsia="Times New Roman"/>
          <w:color w:val="000000" w:themeColor="text1"/>
          <w:u w:color="000000" w:themeColor="text1"/>
        </w:rPr>
        <w:noBreakHyphen/>
        <w:t>25</w:t>
      </w:r>
      <w:r w:rsidRPr="0051392B">
        <w:rPr>
          <w:rFonts w:eastAsia="Times New Roman"/>
          <w:color w:val="000000" w:themeColor="text1"/>
          <w:u w:color="000000" w:themeColor="text1"/>
        </w:rPr>
        <w:noBreakHyphen/>
        <w:t>180(H) of the 1976 Code, relating to the adoption of federal regulations for food and cosmetics, to provide that very small</w:t>
      </w:r>
      <w:r>
        <w:rPr>
          <w:rFonts w:eastAsia="Times New Roman"/>
        </w:rPr>
        <w:t>, etc., respectfully</w:t>
      </w:r>
    </w:p>
    <w:p w:rsidR="0051392B" w:rsidRP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Amend the bill, as and if amended, by striking SECTION 1 and inserting:</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976DF">
        <w:rPr>
          <w:rFonts w:eastAsia="Times New Roman"/>
          <w:snapToGrid w:val="0"/>
          <w:szCs w:val="20"/>
        </w:rPr>
        <w:t>/</w:t>
      </w:r>
      <w:r w:rsidRPr="007976DF">
        <w:rPr>
          <w:rFonts w:eastAsia="Times New Roman"/>
          <w:snapToGrid w:val="0"/>
          <w:szCs w:val="20"/>
        </w:rPr>
        <w:tab/>
      </w:r>
      <w:r w:rsidRPr="007976DF">
        <w:rPr>
          <w:rFonts w:eastAsia="Times New Roman"/>
          <w:snapToGrid w:val="0"/>
          <w:szCs w:val="20"/>
        </w:rPr>
        <w:tab/>
        <w:t>SECTION</w:t>
      </w:r>
      <w:r w:rsidRPr="007976DF">
        <w:rPr>
          <w:rFonts w:eastAsia="Times New Roman"/>
          <w:snapToGrid w:val="0"/>
          <w:szCs w:val="20"/>
        </w:rPr>
        <w:tab/>
        <w:t>1.</w:t>
      </w:r>
      <w:r w:rsidRPr="007976DF">
        <w:rPr>
          <w:rFonts w:eastAsia="Times New Roman"/>
          <w:snapToGrid w:val="0"/>
          <w:szCs w:val="20"/>
        </w:rPr>
        <w:tab/>
        <w:t>Section 39</w:t>
      </w:r>
      <w:r w:rsidRPr="007976DF">
        <w:rPr>
          <w:rFonts w:eastAsia="Times New Roman"/>
          <w:snapToGrid w:val="0"/>
          <w:szCs w:val="20"/>
        </w:rPr>
        <w:noBreakHyphen/>
        <w:t>25</w:t>
      </w:r>
      <w:r w:rsidRPr="007976DF">
        <w:rPr>
          <w:rFonts w:eastAsia="Times New Roman"/>
          <w:snapToGrid w:val="0"/>
          <w:szCs w:val="20"/>
        </w:rPr>
        <w:noBreakHyphen/>
        <w:t>180(H) of the 1976 Code is amended to read:</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“Section 39</w:t>
      </w:r>
      <w:r w:rsidRPr="007976DF">
        <w:rPr>
          <w:rFonts w:eastAsia="Times New Roman"/>
          <w:snapToGrid w:val="0"/>
          <w:szCs w:val="20"/>
        </w:rPr>
        <w:noBreakHyphen/>
        <w:t>25</w:t>
      </w:r>
      <w:r w:rsidRPr="007976DF">
        <w:rPr>
          <w:rFonts w:eastAsia="Times New Roman"/>
          <w:snapToGrid w:val="0"/>
          <w:szCs w:val="20"/>
        </w:rPr>
        <w:noBreakHyphen/>
        <w:t>180.</w:t>
      </w:r>
      <w:r w:rsidRPr="007976DF">
        <w:rPr>
          <w:rFonts w:eastAsia="Times New Roman"/>
          <w:snapToGrid w:val="0"/>
          <w:szCs w:val="20"/>
        </w:rPr>
        <w:tab/>
        <w:t>(H)</w:t>
      </w:r>
      <w:r w:rsidRPr="007976DF">
        <w:rPr>
          <w:rFonts w:eastAsia="Times New Roman"/>
          <w:snapToGrid w:val="0"/>
          <w:szCs w:val="20"/>
        </w:rPr>
        <w:tab/>
        <w:t>Good manufacturing practice regulations and their amendments now or hereafter adopted pursuant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(1)</w:t>
      </w:r>
      <w:r w:rsidRPr="007976DF">
        <w:rPr>
          <w:rFonts w:eastAsia="Times New Roman"/>
          <w:snapToGrid w:val="0"/>
          <w:szCs w:val="20"/>
        </w:rPr>
        <w:tab/>
      </w:r>
      <w:r w:rsidRPr="007976DF">
        <w:rPr>
          <w:rFonts w:eastAsia="Times New Roman"/>
          <w:snapToGrid w:val="0"/>
          <w:szCs w:val="20"/>
          <w:u w:val="single"/>
        </w:rPr>
        <w:t xml:space="preserve">The commissioner shall exclude qualified exempt human food facilities, as defined in the federal Food, Drug and Cosmetic Act and its implementing regulations, from the requirements of Subparts C and G of Title 21, Part 117 of the Code of Federal Regulations; such qualified exempt human food facilities will </w:t>
      </w:r>
      <w:r w:rsidRPr="007976DF">
        <w:rPr>
          <w:rFonts w:eastAsia="Times New Roman"/>
          <w:snapToGrid w:val="0"/>
          <w:szCs w:val="20"/>
          <w:u w:val="single"/>
        </w:rPr>
        <w:lastRenderedPageBreak/>
        <w:t>continue to be subject to all other applicable good manufacturing practice regulations enforced pursuant to this Section.</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(2)</w:t>
      </w:r>
      <w:r w:rsidRPr="007976DF">
        <w:rPr>
          <w:rFonts w:eastAsia="Times New Roman"/>
          <w:snapToGrid w:val="0"/>
          <w:szCs w:val="20"/>
        </w:rPr>
        <w:tab/>
      </w:r>
      <w:r w:rsidRPr="007976DF">
        <w:rPr>
          <w:rFonts w:eastAsia="Times New Roman"/>
          <w:snapToGrid w:val="0"/>
          <w:szCs w:val="20"/>
          <w:u w:val="single"/>
        </w:rPr>
        <w:t>The commissioner shall exclude qualified exempt animal feed facilities, as defined in the federal Food, Drug and Cosmetic Act and its implementing regulations, from the requirements of Subparts C and E of Title 21 Part 500 of the Code of Federal Regulations; such qualified exempt animal feed facilities will be subject to all other applicable good manufacturing practice regulations enforced pursuant to this Section.</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u w:val="single"/>
        </w:rPr>
        <w:t>(3)</w:t>
      </w:r>
      <w:r w:rsidRPr="007976DF">
        <w:rPr>
          <w:rFonts w:eastAsia="Times New Roman"/>
          <w:snapToGrid w:val="0"/>
          <w:szCs w:val="20"/>
        </w:rPr>
        <w:tab/>
      </w:r>
      <w:r w:rsidRPr="007976DF">
        <w:rPr>
          <w:rFonts w:eastAsia="Times New Roman"/>
          <w:snapToGrid w:val="0"/>
          <w:szCs w:val="20"/>
          <w:u w:val="single"/>
        </w:rPr>
        <w:t>In the event that a human food or animal feed facility loses its qualified exempt facility status under the federal Food, Drug and Cosmetic Act, the commissioner shall enforce all applicable good manufacturing practice regulations to that facility.</w:t>
      </w:r>
      <w:r w:rsidRPr="007976DF">
        <w:rPr>
          <w:rFonts w:eastAsia="Times New Roman"/>
          <w:snapToGrid w:val="0"/>
          <w:szCs w:val="20"/>
        </w:rPr>
        <w:t>”</w:t>
      </w:r>
      <w:r w:rsidRPr="007976DF">
        <w:rPr>
          <w:rFonts w:eastAsia="Times New Roman"/>
          <w:snapToGrid w:val="0"/>
          <w:szCs w:val="20"/>
        </w:rPr>
        <w:tab/>
      </w:r>
      <w:r w:rsidRPr="007976DF">
        <w:rPr>
          <w:rFonts w:eastAsia="Times New Roman"/>
          <w:snapToGrid w:val="0"/>
          <w:szCs w:val="20"/>
        </w:rPr>
        <w:tab/>
      </w:r>
      <w:r w:rsidRPr="007976DF">
        <w:rPr>
          <w:rFonts w:eastAsia="Times New Roman"/>
          <w:snapToGrid w:val="0"/>
          <w:szCs w:val="20"/>
        </w:rPr>
        <w:tab/>
        <w:t>/</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Renumber sections to conform.</w:t>
      </w:r>
    </w:p>
    <w:p w:rsid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976DF">
        <w:rPr>
          <w:rFonts w:eastAsia="Times New Roman"/>
          <w:snapToGrid w:val="0"/>
          <w:szCs w:val="20"/>
        </w:rPr>
        <w:tab/>
        <w:t>Amend title to conform.</w:t>
      </w:r>
    </w:p>
    <w:p w:rsidR="0051392B" w:rsidRPr="007976DF"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51392B" w:rsidRPr="0051392B" w:rsidRDefault="0051392B" w:rsidP="0051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92B" w:rsidRDefault="0051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392B" w:rsidSect="005139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65DEF" w:rsidRPr="00522CE0" w:rsidRDefault="00765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58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8139B">
        <w:rPr>
          <w:rFonts w:eastAsia="Times New Roman"/>
        </w:rPr>
        <w:t xml:space="preserve">SECTION </w:t>
      </w:r>
      <w:r w:rsidR="0078139B" w:rsidRPr="00CF3CBC">
        <w:rPr>
          <w:rFonts w:eastAsia="Times New Roman"/>
          <w:color w:val="000000" w:themeColor="text1"/>
          <w:u w:color="000000" w:themeColor="text1"/>
        </w:rPr>
        <w:t>39</w:t>
      </w:r>
      <w:r w:rsidR="007F64BB">
        <w:rPr>
          <w:rFonts w:eastAsia="Times New Roman"/>
          <w:color w:val="000000" w:themeColor="text1"/>
          <w:u w:color="000000" w:themeColor="text1"/>
        </w:rPr>
        <w:noBreakHyphen/>
      </w:r>
      <w:r w:rsidR="0078139B"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0078139B" w:rsidRPr="00CF3CBC">
        <w:rPr>
          <w:rFonts w:eastAsia="Times New Roman"/>
          <w:color w:val="000000" w:themeColor="text1"/>
          <w:u w:color="000000" w:themeColor="text1"/>
        </w:rPr>
        <w:t xml:space="preserve">180(H) </w:t>
      </w:r>
      <w:r w:rsidR="0078139B">
        <w:rPr>
          <w:rFonts w:eastAsia="Times New Roman"/>
          <w:color w:val="000000" w:themeColor="text1"/>
          <w:u w:color="000000" w:themeColor="text1"/>
        </w:rPr>
        <w:t>OF THE 1976 CODE, RELATING TO THE ADOPTION OF FEDERAL REGULATIONS FOR FOOD AND COSMETICS, TO PROVIDE THAT VERY SMALL BUSINESSES AND QUALIFIED EXEMPT FACILITIES ARE NOT REQUIRED TO COMPLY WITH ANY REQUIREMENT TO IMPLEMENT HAZARD ANALYSIS AND RISK</w:t>
      </w:r>
      <w:r w:rsidR="007F64BB">
        <w:rPr>
          <w:rFonts w:eastAsia="Times New Roman"/>
          <w:color w:val="000000" w:themeColor="text1"/>
          <w:u w:color="000000" w:themeColor="text1"/>
        </w:rPr>
        <w:noBreakHyphen/>
      </w:r>
      <w:r w:rsidR="0078139B">
        <w:rPr>
          <w:rFonts w:eastAsia="Times New Roman"/>
          <w:color w:val="000000" w:themeColor="text1"/>
          <w:u w:color="000000" w:themeColor="text1"/>
        </w:rPr>
        <w:t>BASED PREVENTIVE CONTROLS UNDER THE FEDERAL GOOD MANUFACTURING PRACTICES REGULATIONS, BUT WILL CONTINUE TO BE SUBJECT TO ALL OTHER GOOD MANUFACTURING PRACTICE REGULATIONS.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5811"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5811"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F3CBC">
        <w:rPr>
          <w:rFonts w:eastAsia="Times New Roman"/>
          <w:color w:val="000000" w:themeColor="text1"/>
          <w:u w:color="000000" w:themeColor="text1"/>
        </w:rPr>
        <w:t>SECTION</w:t>
      </w:r>
      <w:r w:rsidRPr="00CF3CBC">
        <w:rPr>
          <w:rFonts w:eastAsia="Times New Roman"/>
          <w:color w:val="000000" w:themeColor="text1"/>
          <w:u w:color="000000" w:themeColor="text1"/>
        </w:rPr>
        <w:tab/>
        <w:t>1.</w:t>
      </w:r>
      <w:r w:rsidRPr="00CF3CBC">
        <w:rPr>
          <w:rFonts w:eastAsia="Times New Roman"/>
          <w:color w:val="000000" w:themeColor="text1"/>
          <w:u w:color="000000" w:themeColor="text1"/>
        </w:rPr>
        <w:tab/>
        <w:t>Section 39</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180(H) of the 1976 Code is amended to read:</w:t>
      </w: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F3CBC">
        <w:rPr>
          <w:rFonts w:eastAsia="Times New Roman"/>
          <w:color w:val="000000" w:themeColor="text1"/>
          <w:u w:color="000000" w:themeColor="text1"/>
        </w:rPr>
        <w:tab/>
        <w:t>“Section 39</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180.</w:t>
      </w:r>
      <w:r w:rsidRPr="00CF3CBC">
        <w:rPr>
          <w:rFonts w:eastAsia="Times New Roman"/>
          <w:color w:val="000000" w:themeColor="text1"/>
          <w:u w:color="000000" w:themeColor="text1"/>
        </w:rPr>
        <w:tab/>
        <w:t>(H)</w:t>
      </w:r>
      <w:r w:rsidRPr="00CF3CBC">
        <w:rPr>
          <w:rFonts w:eastAsia="Times New Roman"/>
          <w:color w:val="000000" w:themeColor="text1"/>
          <w:u w:color="000000" w:themeColor="text1"/>
        </w:rPr>
        <w:tab/>
      </w:r>
      <w:r w:rsidRPr="00CF3CBC">
        <w:rPr>
          <w:color w:val="000000" w:themeColor="text1"/>
          <w:u w:color="000000" w:themeColor="text1"/>
        </w:rPr>
        <w:t xml:space="preserve">Good manufacturing practice regulations and their amendments now or hereafter adopted pursuant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 </w:t>
      </w:r>
      <w:r w:rsidRPr="00CF3CBC">
        <w:rPr>
          <w:color w:val="000000" w:themeColor="text1"/>
          <w:u w:val="single" w:color="000000" w:themeColor="text1"/>
        </w:rPr>
        <w:t>Very small businesses and qualified exempt facilities, as defined in the federal Food Drug and Cosmetic Act and its implementing regulations, are not required to comply with any requirement to implement hazard analysis and risk</w:t>
      </w:r>
      <w:r w:rsidR="007F64BB">
        <w:rPr>
          <w:color w:val="000000" w:themeColor="text1"/>
          <w:u w:val="single" w:color="000000" w:themeColor="text1"/>
        </w:rPr>
        <w:noBreakHyphen/>
      </w:r>
      <w:r w:rsidRPr="00CF3CBC">
        <w:rPr>
          <w:color w:val="000000" w:themeColor="text1"/>
          <w:u w:val="single" w:color="000000" w:themeColor="text1"/>
        </w:rPr>
        <w:t>based preventive controls under the federal good manufacturing practices regulations, but will continue to be subject to all other good manufacturing practice regulations.</w:t>
      </w:r>
      <w:r w:rsidRPr="00CF3CBC">
        <w:rPr>
          <w:color w:val="000000" w:themeColor="text1"/>
          <w:u w:color="000000" w:themeColor="text1"/>
        </w:rPr>
        <w:t>”</w:t>
      </w: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5811" w:rsidRPr="00522CE0"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4002">
        <w:rPr>
          <w:rFonts w:eastAsia="Times New Roman"/>
        </w:rPr>
        <w:t>2</w:t>
      </w:r>
      <w:r>
        <w:rPr>
          <w:rFonts w:eastAsia="Times New Roman"/>
        </w:rPr>
        <w:t>.</w:t>
      </w:r>
      <w:r>
        <w:rPr>
          <w:rFonts w:eastAsia="Times New Roman"/>
        </w:rPr>
        <w:tab/>
        <w:t>This act takes effect upon approval by the Governor.</w:t>
      </w:r>
    </w:p>
    <w:p w:rsidR="005B6366" w:rsidRDefault="007F64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4845" w:rsidRDefault="00864845" w:rsidP="00864845">
      <w:pPr>
        <w:suppressAutoHyphens/>
        <w:jc w:val="both"/>
        <w:rPr>
          <w:rFonts w:eastAsia="Times New Roman"/>
        </w:rPr>
      </w:pPr>
    </w:p>
    <w:sectPr w:rsidR="00864845" w:rsidSect="005139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39B" w:rsidRDefault="0078139B" w:rsidP="00522CE0">
      <w:r>
        <w:separator/>
      </w:r>
    </w:p>
  </w:endnote>
  <w:endnote w:type="continuationSeparator" w:id="0">
    <w:p w:rsidR="0078139B" w:rsidRDefault="007813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1C0081-DC4D-452C-AA58-CC2800A9B29B}"/>
    <w:embedBold r:id="rId2" w:fontKey="{E8FA504F-D564-41BB-B15F-EA0D75209CD7}"/>
  </w:font>
  <w:font w:name="Calibri">
    <w:panose1 w:val="020F0502020204030204"/>
    <w:charset w:val="00"/>
    <w:family w:val="swiss"/>
    <w:pitch w:val="variable"/>
    <w:sig w:usb0="E00002FF" w:usb1="4000ACFF" w:usb2="00000001" w:usb3="00000000" w:csb0="0000019F" w:csb1="00000000"/>
    <w:embedRegular r:id="rId3" w:fontKey="{D42347D7-996E-4625-AC7D-69CA46788A6B}"/>
  </w:font>
  <w:font w:name="Segoe UI">
    <w:panose1 w:val="020B0502040204020203"/>
    <w:charset w:val="00"/>
    <w:family w:val="swiss"/>
    <w:pitch w:val="variable"/>
    <w:sig w:usb0="E10022FF" w:usb1="C000E47F" w:usb2="00000029" w:usb3="00000000" w:csb0="000001DF" w:csb1="00000000"/>
    <w:embedRegular r:id="rId4" w:fontKey="{962A3335-DF2E-4905-80C2-97D4558693BD}"/>
  </w:font>
  <w:font w:name="Cambria">
    <w:panose1 w:val="02040503050406030204"/>
    <w:charset w:val="00"/>
    <w:family w:val="roman"/>
    <w:pitch w:val="variable"/>
    <w:sig w:usb0="E00002FF" w:usb1="400004FF" w:usb2="00000000" w:usb3="00000000" w:csb0="0000019F" w:csb1="00000000"/>
    <w:embedRegular r:id="rId5" w:fontKey="{84E8AF03-EE34-4AA9-9759-62185A98D2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366" w:rsidRPr="00765DEF" w:rsidRDefault="00765DEF" w:rsidP="00765DEF">
    <w:pPr>
      <w:pStyle w:val="Footer"/>
      <w:tabs>
        <w:tab w:val="clear" w:pos="4680"/>
        <w:tab w:val="clear" w:pos="9360"/>
        <w:tab w:val="center" w:pos="2995"/>
      </w:tabs>
      <w:spacing w:before="120"/>
    </w:pPr>
    <w:r>
      <w:t>[284</w:t>
    </w:r>
    <w:r w:rsidR="0051392B">
      <w:t>-</w:t>
    </w:r>
    <w:r w:rsidR="0051392B">
      <w:fldChar w:fldCharType="begin"/>
    </w:r>
    <w:r w:rsidR="0051392B">
      <w:instrText xml:space="preserve"> PAGE  \* MERGEFORMAT </w:instrText>
    </w:r>
    <w:r w:rsidR="0051392B">
      <w:fldChar w:fldCharType="separate"/>
    </w:r>
    <w:r w:rsidR="00864845">
      <w:rPr>
        <w:noProof/>
      </w:rPr>
      <w:t>2</w:t>
    </w:r>
    <w:r w:rsidR="0051392B">
      <w:fldChar w:fldCharType="end"/>
    </w:r>
    <w:r w:rsidR="005139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92B" w:rsidRPr="00765DEF" w:rsidRDefault="0051392B" w:rsidP="00765DEF">
    <w:pPr>
      <w:pStyle w:val="Footer"/>
      <w:tabs>
        <w:tab w:val="clear" w:pos="4680"/>
        <w:tab w:val="clear" w:pos="9360"/>
        <w:tab w:val="center" w:pos="2995"/>
      </w:tabs>
      <w:spacing w:before="120"/>
    </w:pPr>
    <w:r>
      <w:t>[284]</w:t>
    </w:r>
    <w:r>
      <w:tab/>
    </w:r>
    <w:r>
      <w:fldChar w:fldCharType="begin"/>
    </w:r>
    <w:r>
      <w:instrText xml:space="preserve"> PAGE  \* MERGEFORMAT </w:instrText>
    </w:r>
    <w:r>
      <w:fldChar w:fldCharType="separate"/>
    </w:r>
    <w:r w:rsidR="008648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39B" w:rsidRDefault="0078139B" w:rsidP="00522CE0">
      <w:r>
        <w:separator/>
      </w:r>
    </w:p>
  </w:footnote>
  <w:footnote w:type="continuationSeparator" w:id="0">
    <w:p w:rsidR="0078139B" w:rsidRDefault="007813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SMA.KSG.DBV"/>
    <w:docVar w:name="CoverAttorneyInitials" w:val="KSG"/>
    <w:docVar w:name="CoverAttorneyLastName" w:val="Kara Grevey"/>
    <w:docVar w:name="CoverBillType" w:val="b"/>
    <w:docVar w:name="CoverSenator" w:val="DBV"/>
    <w:docVar w:name="dvBillNumber" w:val="284"/>
    <w:docVar w:name="dvBillNumberPrefix" w:val="S. "/>
    <w:docVar w:name="dvOriginalBody" w:val="Senate"/>
    <w:docVar w:name="fulldraftpath" w:val="L:\S-RES\DBV\001FSMA.KSG.DBV.DOCX"/>
    <w:docVar w:name="NameofBody" w:val="S"/>
    <w:docVar w:name="vgroup2" w:val="S-RES"/>
  </w:docVars>
  <w:rsids>
    <w:rsidRoot w:val="002A5811"/>
    <w:rsid w:val="00042AC1"/>
    <w:rsid w:val="00046516"/>
    <w:rsid w:val="0007601D"/>
    <w:rsid w:val="000B0720"/>
    <w:rsid w:val="000B5EAF"/>
    <w:rsid w:val="001315B2"/>
    <w:rsid w:val="00170561"/>
    <w:rsid w:val="00186AC9"/>
    <w:rsid w:val="00197DF1"/>
    <w:rsid w:val="001B3DD9"/>
    <w:rsid w:val="001B7E5D"/>
    <w:rsid w:val="001C3006"/>
    <w:rsid w:val="001D3BAC"/>
    <w:rsid w:val="00216025"/>
    <w:rsid w:val="00245C4E"/>
    <w:rsid w:val="002A5811"/>
    <w:rsid w:val="002C1321"/>
    <w:rsid w:val="002C2031"/>
    <w:rsid w:val="002C5896"/>
    <w:rsid w:val="002D3BED"/>
    <w:rsid w:val="002F7E4C"/>
    <w:rsid w:val="00307C2B"/>
    <w:rsid w:val="0033436B"/>
    <w:rsid w:val="003421E8"/>
    <w:rsid w:val="00383247"/>
    <w:rsid w:val="003D6E2B"/>
    <w:rsid w:val="003E7597"/>
    <w:rsid w:val="0044020F"/>
    <w:rsid w:val="004433E2"/>
    <w:rsid w:val="00450668"/>
    <w:rsid w:val="004813A2"/>
    <w:rsid w:val="004952FA"/>
    <w:rsid w:val="004B6A22"/>
    <w:rsid w:val="004D7F37"/>
    <w:rsid w:val="0051392B"/>
    <w:rsid w:val="00522CE0"/>
    <w:rsid w:val="00565148"/>
    <w:rsid w:val="00570403"/>
    <w:rsid w:val="00593361"/>
    <w:rsid w:val="005A413B"/>
    <w:rsid w:val="005A5017"/>
    <w:rsid w:val="005A648C"/>
    <w:rsid w:val="005B6366"/>
    <w:rsid w:val="005F1745"/>
    <w:rsid w:val="006A1802"/>
    <w:rsid w:val="006C74EA"/>
    <w:rsid w:val="00720D40"/>
    <w:rsid w:val="007318D4"/>
    <w:rsid w:val="00765784"/>
    <w:rsid w:val="00765DEF"/>
    <w:rsid w:val="0078139B"/>
    <w:rsid w:val="007A4390"/>
    <w:rsid w:val="007E5CB7"/>
    <w:rsid w:val="007F64BB"/>
    <w:rsid w:val="008314D2"/>
    <w:rsid w:val="008315C9"/>
    <w:rsid w:val="00854002"/>
    <w:rsid w:val="00864845"/>
    <w:rsid w:val="008B2F42"/>
    <w:rsid w:val="008C3697"/>
    <w:rsid w:val="008E185F"/>
    <w:rsid w:val="008F023B"/>
    <w:rsid w:val="00904E16"/>
    <w:rsid w:val="009162B3"/>
    <w:rsid w:val="00927C62"/>
    <w:rsid w:val="0098264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179C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6CABDFC-ED7F-4914-B4E3-20017BAD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43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3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60539F5A.dotm</Template>
  <TotalTime>0</TotalTime>
  <Pages>4</Pages>
  <Words>598</Words>
  <Characters>3296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2015-2016 Bill 284 Text of Previous Version (Jan. 13, 2015) - South Carolina Legislature Online</vt:lpstr>
    </vt:vector>
  </TitlesOfParts>
  <Company> </Company>
  <LinksUpToDate>false</LinksUpToDate>
  <CharactersWithSpaces>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284 Text of Previous Version (Feb. 25, 2016) - South Carolina Legislature Online</dc:title>
  <dc:subject/>
  <dc:creator>%USERNAME%</dc:creator>
  <cp:keywords/>
  <dc:description/>
  <cp:lastModifiedBy>Miriam Cook</cp:lastModifiedBy>
  <cp:revision>2</cp:revision>
  <cp:lastPrinted>2016-02-25T22:33:00Z</cp:lastPrinted>
  <dcterms:created xsi:type="dcterms:W3CDTF">2016-02-25T22:35:00Z</dcterms:created>
  <dcterms:modified xsi:type="dcterms:W3CDTF">2016-02-25T22:35:00Z</dcterms:modified>
</cp:coreProperties>
</file>