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620F" w:rsidRDefault="0091620F"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10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bookmarkStart w:id="3" w:name="titletop"/>
      <w:bookmarkEnd w:id="3"/>
      <w:r w:rsidRPr="00B04A9B">
        <w:rPr>
          <w:rFonts w:eastAsia="Calibri"/>
          <w:color w:val="000000"/>
          <w:szCs w:val="22"/>
          <w:u w:color="000000"/>
        </w:rPr>
        <w:t>TO AMEND SECTION 2</w:t>
      </w:r>
      <w:r w:rsidR="009647AE">
        <w:rPr>
          <w:rFonts w:eastAsia="Calibri"/>
          <w:color w:val="000000"/>
          <w:szCs w:val="22"/>
          <w:u w:color="000000"/>
        </w:rPr>
        <w:noBreakHyphen/>
      </w:r>
      <w:r w:rsidRPr="00B04A9B">
        <w:rPr>
          <w:rFonts w:eastAsia="Calibri"/>
          <w:color w:val="000000"/>
          <w:szCs w:val="22"/>
          <w:u w:color="000000"/>
        </w:rPr>
        <w:t>17</w:t>
      </w:r>
      <w:r w:rsidR="009647AE">
        <w:rPr>
          <w:rFonts w:eastAsia="Calibri"/>
          <w:color w:val="000000"/>
          <w:szCs w:val="22"/>
          <w:u w:color="000000"/>
        </w:rPr>
        <w:noBreakHyphen/>
      </w:r>
      <w:r w:rsidRPr="00B04A9B">
        <w:rPr>
          <w:rFonts w:eastAsia="Calibri"/>
          <w:color w:val="000000"/>
          <w:szCs w:val="22"/>
          <w:u w:color="000000"/>
        </w:rPr>
        <w:t>90, CODE OF LAWS OF SOUTH CAROLINA,</w:t>
      </w:r>
      <w:r w:rsidR="006B38C0">
        <w:rPr>
          <w:rFonts w:eastAsia="Calibri"/>
          <w:color w:val="000000"/>
          <w:szCs w:val="22"/>
          <w:u w:color="000000"/>
        </w:rPr>
        <w:t xml:space="preserve"> 1976,</w:t>
      </w:r>
      <w:r w:rsidRPr="00B04A9B">
        <w:rPr>
          <w:rFonts w:eastAsia="Calibri"/>
          <w:color w:val="000000"/>
          <w:szCs w:val="22"/>
          <w:u w:color="000000"/>
        </w:rPr>
        <w:t xml:space="preserve"> RELATING TO ACTS PROHIBITED OF LOBBYISTS</w:t>
      </w:r>
      <w:r w:rsidR="009647AE" w:rsidRPr="009647AE">
        <w:rPr>
          <w:rFonts w:eastAsia="Calibri"/>
          <w:color w:val="000000"/>
          <w:szCs w:val="22"/>
          <w:u w:color="000000"/>
        </w:rPr>
        <w:t>’</w:t>
      </w:r>
      <w:r w:rsidRPr="00B04A9B">
        <w:rPr>
          <w:rFonts w:eastAsia="Calibri"/>
          <w:color w:val="000000"/>
          <w:szCs w:val="22"/>
          <w:u w:color="000000"/>
        </w:rPr>
        <w:t xml:space="preserve"> PRINCIPALS, SO AS TO DELETE THE SPECIFIC AUTHORIZATION FOR AMERICAN LEGISLATIVE EXCHANGE COUNCIL CONVENTIONS AND CONFERENCES; AND TO AMEND SECTION 8</w:t>
      </w:r>
      <w:r w:rsidR="009647AE">
        <w:rPr>
          <w:rFonts w:eastAsia="Calibri"/>
          <w:color w:val="000000"/>
          <w:szCs w:val="22"/>
          <w:u w:color="000000"/>
        </w:rPr>
        <w:noBreakHyphen/>
      </w:r>
      <w:r w:rsidRPr="00B04A9B">
        <w:rPr>
          <w:rFonts w:eastAsia="Calibri"/>
          <w:color w:val="000000"/>
          <w:szCs w:val="22"/>
          <w:u w:color="000000"/>
        </w:rPr>
        <w:t>13</w:t>
      </w:r>
      <w:r w:rsidR="009647AE">
        <w:rPr>
          <w:rFonts w:eastAsia="Calibri"/>
          <w:color w:val="000000"/>
          <w:szCs w:val="22"/>
          <w:u w:color="000000"/>
        </w:rPr>
        <w:noBreakHyphen/>
      </w:r>
      <w:r w:rsidRPr="00B04A9B">
        <w:rPr>
          <w:rFonts w:eastAsia="Calibri"/>
          <w:color w:val="000000"/>
          <w:szCs w:val="22"/>
          <w:u w:color="000000"/>
        </w:rPr>
        <w:t>1348, AS AMENDED, RELATING TO THE USE OF CAMPAIGN FUNDS FOR PERSONAL EXPENSES, SO AS TO CLARIFY THE TYPE OF PROHIBITED EXPENSES.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10BD" w:rsidRDefault="0042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10BD" w:rsidRDefault="0042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t>SECTION</w:t>
      </w:r>
      <w:r>
        <w:tab/>
        <w:t>1.</w:t>
      </w:r>
      <w:r>
        <w:tab/>
      </w:r>
      <w:r w:rsidRPr="00B04A9B">
        <w:rPr>
          <w:rFonts w:eastAsia="Calibri"/>
          <w:color w:val="000000"/>
          <w:szCs w:val="22"/>
          <w:u w:color="000000"/>
        </w:rPr>
        <w:t>Section 2</w:t>
      </w:r>
      <w:r w:rsidR="009647AE">
        <w:rPr>
          <w:rFonts w:eastAsia="Calibri"/>
          <w:color w:val="000000"/>
          <w:szCs w:val="22"/>
          <w:u w:color="000000"/>
        </w:rPr>
        <w:noBreakHyphen/>
      </w:r>
      <w:r w:rsidRPr="00B04A9B">
        <w:rPr>
          <w:rFonts w:eastAsia="Calibri"/>
          <w:color w:val="000000"/>
          <w:szCs w:val="22"/>
          <w:u w:color="000000"/>
        </w:rPr>
        <w:t>17</w:t>
      </w:r>
      <w:r w:rsidR="009647AE">
        <w:rPr>
          <w:rFonts w:eastAsia="Calibri"/>
          <w:color w:val="000000"/>
          <w:szCs w:val="22"/>
          <w:u w:color="000000"/>
        </w:rPr>
        <w:noBreakHyphen/>
      </w:r>
      <w:r w:rsidR="00CC0BA6">
        <w:rPr>
          <w:rFonts w:eastAsia="Calibri"/>
          <w:color w:val="000000"/>
          <w:szCs w:val="22"/>
          <w:u w:color="000000"/>
        </w:rPr>
        <w:t>90(A)(1) of the 1976 Code</w:t>
      </w:r>
      <w:r w:rsidR="00AF5E2F">
        <w:rPr>
          <w:rFonts w:eastAsia="Calibri"/>
          <w:color w:val="000000"/>
          <w:szCs w:val="22"/>
          <w:u w:color="000000"/>
        </w:rPr>
        <w:t xml:space="preserve"> </w:t>
      </w:r>
      <w:r w:rsidRPr="00B04A9B">
        <w:rPr>
          <w:rFonts w:eastAsia="Calibri"/>
          <w:color w:val="000000"/>
          <w:szCs w:val="22"/>
          <w:u w:color="000000"/>
        </w:rPr>
        <w:t xml:space="preserve">is </w:t>
      </w:r>
      <w:r w:rsidR="00AF5E2F">
        <w:rPr>
          <w:rFonts w:eastAsia="Calibri"/>
          <w:color w:val="000000"/>
          <w:szCs w:val="22"/>
          <w:u w:color="000000"/>
        </w:rPr>
        <w:t>amended</w:t>
      </w:r>
      <w:r w:rsidRPr="00B04A9B">
        <w:rPr>
          <w:rFonts w:eastAsia="Calibri"/>
          <w:color w:val="000000"/>
          <w:szCs w:val="22"/>
          <w:u w:color="000000"/>
        </w:rPr>
        <w:t xml:space="preserve"> to read:</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B04A9B">
        <w:rPr>
          <w:rFonts w:eastAsia="Calibri"/>
          <w:color w:val="000000"/>
          <w:szCs w:val="22"/>
          <w:u w:color="000000"/>
        </w:rPr>
        <w:tab/>
        <w:t>“</w:t>
      </w:r>
      <w:r>
        <w:rPr>
          <w:rFonts w:eastAsia="Calibri"/>
          <w:color w:val="000000"/>
          <w:szCs w:val="22"/>
          <w:u w:color="000000"/>
        </w:rPr>
        <w:t xml:space="preserve">(A) </w:t>
      </w:r>
      <w:r>
        <w:rPr>
          <w:rFonts w:eastAsia="Calibri"/>
          <w:color w:val="000000"/>
          <w:szCs w:val="22"/>
          <w:u w:color="000000"/>
        </w:rPr>
        <w:tab/>
      </w:r>
      <w:r w:rsidRPr="00B04A9B">
        <w:rPr>
          <w:rFonts w:eastAsia="Calibri"/>
          <w:color w:val="000000"/>
          <w:szCs w:val="22"/>
          <w:u w:color="000000"/>
        </w:rPr>
        <w:t>Except as otherwise provided under Section 2</w:t>
      </w:r>
      <w:r w:rsidR="009647AE">
        <w:rPr>
          <w:rFonts w:eastAsia="Calibri"/>
          <w:color w:val="000000"/>
          <w:szCs w:val="22"/>
          <w:u w:color="000000"/>
        </w:rPr>
        <w:noBreakHyphen/>
      </w:r>
      <w:r w:rsidRPr="00B04A9B">
        <w:rPr>
          <w:rFonts w:eastAsia="Calibri"/>
          <w:color w:val="000000"/>
          <w:szCs w:val="22"/>
          <w:u w:color="000000"/>
        </w:rPr>
        <w:t>17</w:t>
      </w:r>
      <w:r w:rsidR="009647AE">
        <w:rPr>
          <w:rFonts w:eastAsia="Calibri"/>
          <w:color w:val="000000"/>
          <w:szCs w:val="22"/>
          <w:u w:color="000000"/>
        </w:rPr>
        <w:noBreakHyphen/>
      </w:r>
      <w:r w:rsidRPr="00B04A9B">
        <w:rPr>
          <w:rFonts w:eastAsia="Calibri"/>
          <w:color w:val="000000"/>
          <w:szCs w:val="22"/>
          <w:u w:color="000000"/>
        </w:rPr>
        <w:t>100, no lobbyist</w:t>
      </w:r>
      <w:r w:rsidR="009647AE" w:rsidRPr="009647AE">
        <w:rPr>
          <w:rFonts w:eastAsia="Calibri"/>
          <w:color w:val="000000"/>
          <w:szCs w:val="22"/>
          <w:u w:color="000000"/>
        </w:rPr>
        <w:t>’</w:t>
      </w:r>
      <w:r w:rsidRPr="00B04A9B">
        <w:rPr>
          <w:rFonts w:eastAsia="Calibri"/>
          <w:color w:val="000000"/>
          <w:szCs w:val="22"/>
          <w:u w:color="000000"/>
        </w:rPr>
        <w:t>s principal may offer, solicit, facilitate, or provide to a public official or public employee, and no public official or public employee may accept lodging, transportation, entertainment, food, meals, beverages, or an invitation to a function paid for by a lobbyist</w:t>
      </w:r>
      <w:r w:rsidR="009647AE" w:rsidRPr="009647AE">
        <w:rPr>
          <w:rFonts w:eastAsia="Calibri"/>
          <w:color w:val="000000"/>
          <w:szCs w:val="22"/>
          <w:u w:color="000000"/>
        </w:rPr>
        <w:t>’</w:t>
      </w:r>
      <w:r w:rsidRPr="00B04A9B">
        <w:rPr>
          <w:rFonts w:eastAsia="Calibri"/>
          <w:color w:val="000000"/>
          <w:szCs w:val="22"/>
          <w:u w:color="000000"/>
        </w:rPr>
        <w:t>s principal, except for:</w:t>
      </w:r>
      <w:r w:rsidRPr="00B04A9B">
        <w:rPr>
          <w:rFonts w:eastAsia="Calibri"/>
          <w:color w:val="000000"/>
          <w:szCs w:val="22"/>
          <w:u w:color="000000"/>
        </w:rPr>
        <w:tab/>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(1)</w:t>
      </w:r>
      <w:r>
        <w:rPr>
          <w:rFonts w:eastAsia="Calibri"/>
          <w:color w:val="000000"/>
          <w:szCs w:val="22"/>
          <w:u w:color="000000"/>
        </w:rPr>
        <w:tab/>
      </w:r>
      <w:r w:rsidRPr="00B04A9B">
        <w:rPr>
          <w:rFonts w:eastAsia="Calibri"/>
          <w:color w:val="000000"/>
          <w:szCs w:val="22"/>
          <w:u w:color="000000"/>
        </w:rPr>
        <w:t xml:space="preserve">as to members of the General Assembly, a function to which a member of the General Assembly is invited if the entire membership of the House, the Senate, or the General Assembly is invited, or one of the committees, subcommittees, joint committees, </w:t>
      </w:r>
      <w:r w:rsidRPr="00B04A9B">
        <w:rPr>
          <w:rFonts w:eastAsia="Calibri"/>
          <w:color w:val="000000"/>
          <w:szCs w:val="22"/>
          <w:u w:color="000000"/>
        </w:rPr>
        <w:lastRenderedPageBreak/>
        <w:t xml:space="preserve">legislative caucuses or their committees or subcommittees, or county legislative delegations of the General Assembly of which the legislator is a member is invited.  However, the Speaker of the House and Speaker Pro Tempore of the House may be included in an invitation to one of the above groups.  In addition, invitations may be extended and accepted when the invitation is extended to all members in attendance at </w:t>
      </w:r>
      <w:r w:rsidRPr="00B04A9B">
        <w:rPr>
          <w:rFonts w:eastAsia="Calibri"/>
          <w:strike/>
          <w:color w:val="000000"/>
          <w:szCs w:val="22"/>
          <w:u w:color="000000"/>
        </w:rPr>
        <w:t>(a)</w:t>
      </w:r>
      <w:r w:rsidRPr="00B04A9B">
        <w:rPr>
          <w:rFonts w:eastAsia="Calibri"/>
          <w:color w:val="000000"/>
          <w:szCs w:val="22"/>
          <w:u w:color="000000"/>
        </w:rPr>
        <w:t xml:space="preserve"> national and regional conventions and conferences of organizations for which the General Assembly pays annual dues as a membership requirement </w:t>
      </w:r>
      <w:r w:rsidRPr="00B04A9B">
        <w:rPr>
          <w:rFonts w:eastAsia="Calibri"/>
          <w:strike/>
          <w:color w:val="000000"/>
          <w:szCs w:val="22"/>
          <w:u w:color="000000"/>
        </w:rPr>
        <w:t>and (b) American Legislative Exchange Council conventions and conferences</w:t>
      </w:r>
      <w:r w:rsidRPr="00B04A9B">
        <w:rPr>
          <w:rFonts w:eastAsia="Calibri"/>
          <w:color w:val="000000"/>
          <w:szCs w:val="22"/>
          <w:u w:color="000000"/>
        </w:rPr>
        <w:t>;”</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SECTION</w:t>
      </w:r>
      <w:r>
        <w:rPr>
          <w:rFonts w:eastAsia="Calibri"/>
          <w:color w:val="000000"/>
          <w:szCs w:val="22"/>
          <w:u w:color="000000"/>
        </w:rPr>
        <w:tab/>
        <w:t>2.</w:t>
      </w:r>
      <w:r>
        <w:rPr>
          <w:rFonts w:eastAsia="Calibri"/>
          <w:color w:val="000000"/>
          <w:szCs w:val="22"/>
          <w:u w:color="000000"/>
        </w:rPr>
        <w:tab/>
      </w:r>
      <w:r w:rsidRPr="00B04A9B">
        <w:rPr>
          <w:rFonts w:eastAsia="Calibri"/>
          <w:color w:val="000000"/>
          <w:szCs w:val="22"/>
          <w:u w:color="000000"/>
        </w:rPr>
        <w:t>Section 8</w:t>
      </w:r>
      <w:r w:rsidR="009647AE">
        <w:rPr>
          <w:rFonts w:eastAsia="Calibri"/>
          <w:color w:val="000000"/>
          <w:szCs w:val="22"/>
          <w:u w:color="000000"/>
        </w:rPr>
        <w:noBreakHyphen/>
      </w:r>
      <w:r w:rsidRPr="00B04A9B">
        <w:rPr>
          <w:rFonts w:eastAsia="Calibri"/>
          <w:color w:val="000000"/>
          <w:szCs w:val="22"/>
          <w:u w:color="000000"/>
        </w:rPr>
        <w:t>13</w:t>
      </w:r>
      <w:r w:rsidR="009647AE">
        <w:rPr>
          <w:rFonts w:eastAsia="Calibri"/>
          <w:color w:val="000000"/>
          <w:szCs w:val="22"/>
          <w:u w:color="000000"/>
        </w:rPr>
        <w:noBreakHyphen/>
      </w:r>
      <w:r w:rsidRPr="00B04A9B">
        <w:rPr>
          <w:rFonts w:eastAsia="Calibri"/>
          <w:color w:val="000000"/>
          <w:szCs w:val="22"/>
          <w:u w:color="000000"/>
        </w:rPr>
        <w:t xml:space="preserve">1348 of the 1976 Code, as last </w:t>
      </w:r>
      <w:r w:rsidR="00AF5E2F">
        <w:rPr>
          <w:rFonts w:eastAsia="Calibri"/>
          <w:color w:val="000000"/>
          <w:szCs w:val="22"/>
          <w:u w:color="000000"/>
        </w:rPr>
        <w:t>amended by Act 225 of 2010</w:t>
      </w:r>
      <w:r w:rsidRPr="00B04A9B">
        <w:rPr>
          <w:rFonts w:eastAsia="Calibri"/>
          <w:color w:val="000000"/>
          <w:szCs w:val="22"/>
          <w:u w:color="000000"/>
        </w:rPr>
        <w:t>, is further amended to read:</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sidRPr="00B04A9B">
        <w:rPr>
          <w:rFonts w:eastAsia="Calibri"/>
          <w:color w:val="000000"/>
          <w:szCs w:val="22"/>
          <w:u w:color="000000"/>
        </w:rPr>
        <w:t xml:space="preserve">   “Section 8</w:t>
      </w:r>
      <w:r w:rsidR="009647AE">
        <w:rPr>
          <w:rFonts w:eastAsia="Calibri"/>
          <w:color w:val="000000"/>
          <w:szCs w:val="22"/>
          <w:u w:color="000000"/>
        </w:rPr>
        <w:noBreakHyphen/>
      </w:r>
      <w:r w:rsidRPr="00B04A9B">
        <w:rPr>
          <w:rFonts w:eastAsia="Calibri"/>
          <w:color w:val="000000"/>
          <w:szCs w:val="22"/>
          <w:u w:color="000000"/>
        </w:rPr>
        <w:t>13</w:t>
      </w:r>
      <w:r w:rsidR="009647AE">
        <w:rPr>
          <w:rFonts w:eastAsia="Calibri"/>
          <w:color w:val="000000"/>
          <w:szCs w:val="22"/>
          <w:u w:color="000000"/>
        </w:rPr>
        <w:noBreakHyphen/>
      </w:r>
      <w:r>
        <w:rPr>
          <w:rFonts w:eastAsia="Calibri"/>
          <w:color w:val="000000"/>
          <w:szCs w:val="22"/>
          <w:u w:color="000000"/>
        </w:rPr>
        <w:t>1348.</w:t>
      </w:r>
      <w:r>
        <w:rPr>
          <w:rFonts w:eastAsia="Calibri"/>
          <w:color w:val="000000"/>
          <w:szCs w:val="22"/>
          <w:u w:color="000000"/>
        </w:rPr>
        <w:tab/>
        <w:t>(A)</w:t>
      </w:r>
      <w:r>
        <w:rPr>
          <w:rFonts w:eastAsia="Calibri"/>
          <w:color w:val="000000"/>
          <w:szCs w:val="22"/>
          <w:u w:color="000000"/>
        </w:rPr>
        <w:tab/>
      </w:r>
      <w:r w:rsidRPr="00B04A9B">
        <w:rPr>
          <w:rFonts w:eastAsia="Calibri"/>
          <w:color w:val="000000"/>
          <w:szCs w:val="22"/>
          <w:u w:color="000000"/>
        </w:rPr>
        <w:t>No candidate, committee, public official, or political party may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w:t>
      </w:r>
      <w:r w:rsidR="009647AE" w:rsidRPr="009647AE">
        <w:rPr>
          <w:rFonts w:eastAsia="Calibri"/>
          <w:color w:val="000000"/>
          <w:szCs w:val="22"/>
          <w:u w:color="000000"/>
        </w:rPr>
        <w:t>’</w:t>
      </w:r>
      <w:r w:rsidRPr="00B04A9B">
        <w:rPr>
          <w:rFonts w:eastAsia="Calibri"/>
          <w:color w:val="000000"/>
          <w:szCs w:val="22"/>
          <w:u w:color="000000"/>
        </w:rPr>
        <w:t xml:space="preserve">s duties as a holder of elective office. </w:t>
      </w:r>
      <w:r w:rsidRPr="00B04A9B">
        <w:rPr>
          <w:rFonts w:eastAsia="Calibri"/>
          <w:color w:val="000000"/>
          <w:szCs w:val="22"/>
          <w:u w:val="single" w:color="000000"/>
        </w:rPr>
        <w:t>Personal expenses include:</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sidRPr="00B04A9B">
        <w:rPr>
          <w:rFonts w:eastAsia="Calibri"/>
          <w:color w:val="000000"/>
          <w:szCs w:val="22"/>
          <w:u w:color="000000"/>
        </w:rPr>
        <w:t xml:space="preserve">      </w:t>
      </w:r>
      <w:r w:rsidRPr="00B04A9B">
        <w:rPr>
          <w:rFonts w:eastAsia="Calibri"/>
          <w:color w:val="000000"/>
          <w:szCs w:val="22"/>
          <w:u w:val="single" w:color="000000"/>
        </w:rPr>
        <w:t>(1)</w:t>
      </w:r>
      <w:r>
        <w:rPr>
          <w:rFonts w:eastAsia="Calibri"/>
          <w:color w:val="000000"/>
          <w:szCs w:val="22"/>
          <w:u w:color="000000"/>
        </w:rPr>
        <w:t xml:space="preserve"> </w:t>
      </w:r>
      <w:r>
        <w:rPr>
          <w:rFonts w:eastAsia="Calibri"/>
          <w:color w:val="000000"/>
          <w:szCs w:val="22"/>
          <w:u w:color="000000"/>
        </w:rPr>
        <w:tab/>
      </w:r>
      <w:r w:rsidRPr="00B04A9B">
        <w:rPr>
          <w:rFonts w:eastAsia="Calibri"/>
          <w:color w:val="000000"/>
          <w:szCs w:val="22"/>
          <w:u w:val="single" w:color="000000"/>
        </w:rPr>
        <w:t>fines, fees or other charges imposed by an appropriate supervisory office; or</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sidRPr="00B04A9B">
        <w:rPr>
          <w:rFonts w:eastAsia="Calibri"/>
          <w:color w:val="000000"/>
          <w:szCs w:val="22"/>
          <w:u w:color="000000"/>
        </w:rPr>
        <w:t xml:space="preserve">      </w:t>
      </w:r>
      <w:r w:rsidRPr="00B04A9B">
        <w:rPr>
          <w:rFonts w:eastAsia="Calibri"/>
          <w:color w:val="000000"/>
          <w:szCs w:val="22"/>
          <w:u w:val="single" w:color="000000"/>
        </w:rPr>
        <w:t>(2)</w:t>
      </w:r>
      <w:r>
        <w:rPr>
          <w:rFonts w:eastAsia="Calibri"/>
          <w:color w:val="000000"/>
          <w:szCs w:val="22"/>
          <w:u w:color="000000"/>
        </w:rPr>
        <w:t xml:space="preserve"> </w:t>
      </w:r>
      <w:r>
        <w:rPr>
          <w:rFonts w:eastAsia="Calibri"/>
          <w:color w:val="000000"/>
          <w:szCs w:val="22"/>
          <w:u w:color="000000"/>
        </w:rPr>
        <w:tab/>
      </w:r>
      <w:r w:rsidRPr="00B04A9B">
        <w:rPr>
          <w:rFonts w:eastAsia="Calibri"/>
          <w:color w:val="000000"/>
          <w:szCs w:val="22"/>
          <w:u w:val="single" w:color="000000"/>
        </w:rPr>
        <w:t>fines, fees, or charges</w:t>
      </w:r>
      <w:r w:rsidR="008240DE">
        <w:rPr>
          <w:rFonts w:eastAsia="Calibri"/>
          <w:color w:val="000000"/>
          <w:szCs w:val="22"/>
          <w:u w:val="single" w:color="000000"/>
        </w:rPr>
        <w:t xml:space="preserve"> imposed by a court</w:t>
      </w:r>
      <w:r w:rsidRPr="00B04A9B">
        <w:rPr>
          <w:rFonts w:eastAsia="Calibri"/>
          <w:color w:val="000000"/>
          <w:szCs w:val="22"/>
          <w:u w:val="single" w:color="000000"/>
        </w:rPr>
        <w:t xml:space="preserve"> </w:t>
      </w:r>
      <w:r>
        <w:rPr>
          <w:rFonts w:eastAsia="Calibri"/>
          <w:color w:val="000000"/>
          <w:szCs w:val="22"/>
          <w:u w:val="single" w:color="000000"/>
        </w:rPr>
        <w:t xml:space="preserve">as </w:t>
      </w:r>
      <w:r w:rsidRPr="00B04A9B">
        <w:rPr>
          <w:rFonts w:eastAsia="Calibri"/>
          <w:color w:val="000000"/>
          <w:szCs w:val="22"/>
          <w:u w:val="single" w:color="000000"/>
        </w:rPr>
        <w:t>a result of a criminal matter.</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Pr>
          <w:rFonts w:eastAsia="Calibri"/>
          <w:color w:val="000000"/>
          <w:szCs w:val="22"/>
          <w:u w:color="000000"/>
        </w:rPr>
        <w:t xml:space="preserve">   (B)</w:t>
      </w:r>
      <w:r>
        <w:rPr>
          <w:rFonts w:eastAsia="Calibri"/>
          <w:color w:val="000000"/>
          <w:szCs w:val="22"/>
          <w:u w:color="000000"/>
        </w:rPr>
        <w:tab/>
      </w:r>
      <w:r w:rsidRPr="00B04A9B">
        <w:rPr>
          <w:rFonts w:eastAsia="Calibri"/>
          <w:color w:val="000000"/>
          <w:szCs w:val="22"/>
          <w:u w:color="000000"/>
        </w:rPr>
        <w:t xml:space="preserve">The payment </w:t>
      </w:r>
      <w:r w:rsidRPr="00B04A9B">
        <w:rPr>
          <w:rFonts w:eastAsia="Calibri"/>
          <w:color w:val="000000"/>
          <w:szCs w:val="22"/>
          <w:u w:val="single" w:color="000000"/>
        </w:rPr>
        <w:t>or reimbursement</w:t>
      </w:r>
      <w:r w:rsidRPr="00B04A9B">
        <w:rPr>
          <w:rFonts w:eastAsia="Calibri"/>
          <w:color w:val="000000"/>
          <w:szCs w:val="22"/>
          <w:u w:color="000000"/>
        </w:rPr>
        <w:t xml:space="preserve"> of reasonable and necessary </w:t>
      </w:r>
      <w:r w:rsidRPr="00B04A9B">
        <w:rPr>
          <w:rFonts w:eastAsia="Calibri"/>
          <w:strike/>
          <w:color w:val="000000"/>
          <w:szCs w:val="22"/>
          <w:u w:color="000000"/>
        </w:rPr>
        <w:t>travel</w:t>
      </w:r>
      <w:r w:rsidRPr="00B04A9B">
        <w:rPr>
          <w:rFonts w:eastAsia="Calibri"/>
          <w:color w:val="000000"/>
          <w:szCs w:val="22"/>
          <w:u w:color="000000"/>
        </w:rPr>
        <w:t xml:space="preserve"> expenses </w:t>
      </w:r>
      <w:r w:rsidRPr="00B04A9B">
        <w:rPr>
          <w:rFonts w:eastAsia="Calibri"/>
          <w:strike/>
          <w:color w:val="000000"/>
          <w:szCs w:val="22"/>
          <w:u w:color="000000"/>
        </w:rPr>
        <w:t>or for food or beverages consumed by the candidate or members of his immediate family while at, and in connection with, a political event are permitted</w:t>
      </w:r>
      <w:r w:rsidRPr="00B04A9B">
        <w:rPr>
          <w:rFonts w:eastAsia="Calibri"/>
          <w:color w:val="000000"/>
          <w:szCs w:val="22"/>
          <w:u w:color="000000"/>
        </w:rPr>
        <w:t xml:space="preserve"> </w:t>
      </w:r>
      <w:r w:rsidRPr="00B04A9B">
        <w:rPr>
          <w:rFonts w:eastAsia="Calibri"/>
          <w:color w:val="000000"/>
          <w:szCs w:val="22"/>
          <w:u w:val="single" w:color="000000"/>
        </w:rPr>
        <w:t>associated with the campaign or the office are permitted; however:</w:t>
      </w:r>
      <w:r w:rsidRPr="00B04A9B">
        <w:rPr>
          <w:rFonts w:eastAsia="Calibri"/>
          <w:color w:val="000000"/>
          <w:szCs w:val="22"/>
          <w:u w:color="000000"/>
        </w:rPr>
        <w:t xml:space="preserve"> </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sidRPr="00B04A9B">
        <w:rPr>
          <w:rFonts w:eastAsia="Calibri"/>
          <w:color w:val="000000"/>
          <w:szCs w:val="22"/>
          <w:u w:val="single" w:color="000000"/>
        </w:rPr>
        <w:t>(1)</w:t>
      </w:r>
      <w:r>
        <w:rPr>
          <w:rFonts w:eastAsia="Calibri"/>
          <w:color w:val="000000"/>
          <w:szCs w:val="22"/>
          <w:u w:color="000000"/>
        </w:rPr>
        <w:tab/>
      </w:r>
      <w:r>
        <w:rPr>
          <w:rFonts w:eastAsia="Calibri"/>
          <w:color w:val="000000"/>
          <w:szCs w:val="22"/>
          <w:u w:val="single" w:color="000000"/>
        </w:rPr>
        <w:t xml:space="preserve">a </w:t>
      </w:r>
      <w:r w:rsidRPr="00B04A9B">
        <w:rPr>
          <w:rFonts w:eastAsia="Calibri"/>
          <w:color w:val="000000"/>
          <w:szCs w:val="22"/>
          <w:u w:val="single" w:color="000000"/>
        </w:rPr>
        <w:t>payment or reimbursement of mileage for travel associated with the campaign or office must be at the rate established for the year by the Internal Revenue Service;</w:t>
      </w:r>
      <w:r w:rsidRPr="00B04A9B">
        <w:rPr>
          <w:rFonts w:eastAsia="Calibri"/>
          <w:color w:val="000000"/>
          <w:szCs w:val="22"/>
          <w:u w:color="000000"/>
        </w:rPr>
        <w:t xml:space="preserve"> </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sidRPr="00B04A9B">
        <w:rPr>
          <w:rFonts w:eastAsia="Calibri"/>
          <w:color w:val="000000"/>
          <w:szCs w:val="22"/>
          <w:u w:val="single" w:color="000000"/>
        </w:rPr>
        <w:t>(2)</w:t>
      </w:r>
      <w:r>
        <w:rPr>
          <w:rFonts w:eastAsia="Calibri"/>
          <w:color w:val="000000"/>
          <w:szCs w:val="22"/>
          <w:u w:color="000000"/>
        </w:rPr>
        <w:tab/>
      </w:r>
      <w:r w:rsidRPr="00B04A9B">
        <w:rPr>
          <w:rFonts w:eastAsia="Calibri"/>
          <w:color w:val="000000"/>
          <w:szCs w:val="22"/>
          <w:u w:val="single" w:color="000000"/>
        </w:rPr>
        <w:t>the payment or reimbursement for any lodging, food and beverage, or travel expenses, other than mileage, for the candidate, a member of the candidate</w:t>
      </w:r>
      <w:r w:rsidR="009647AE" w:rsidRPr="009647AE">
        <w:rPr>
          <w:rFonts w:eastAsia="Calibri"/>
          <w:color w:val="000000"/>
          <w:szCs w:val="22"/>
          <w:u w:val="single" w:color="000000"/>
        </w:rPr>
        <w:t>’</w:t>
      </w:r>
      <w:r w:rsidRPr="00B04A9B">
        <w:rPr>
          <w:rFonts w:eastAsia="Calibri"/>
          <w:color w:val="000000"/>
          <w:szCs w:val="22"/>
          <w:u w:val="single" w:color="000000"/>
        </w:rPr>
        <w:t xml:space="preserve">s immediate family or staff must be for travel for the purpose of campaigning for office or otherwise a part of the official responsibilities of an officeholder. Official responsibilities of the </w:t>
      </w:r>
      <w:r w:rsidRPr="00B04A9B">
        <w:rPr>
          <w:rFonts w:eastAsia="Calibri"/>
          <w:color w:val="000000"/>
          <w:szCs w:val="22"/>
          <w:u w:val="single" w:color="000000"/>
        </w:rPr>
        <w:lastRenderedPageBreak/>
        <w:t>officeholder include, but are not limited to, political party events, official appearances or meetings for which reimbursement is not offered by a governmental entity, and educational forums or conventions to which an officeholder is invited in his official capacity;</w:t>
      </w:r>
      <w:r w:rsidRPr="00B04A9B">
        <w:rPr>
          <w:rFonts w:eastAsia="Calibri"/>
          <w:color w:val="000000"/>
          <w:szCs w:val="22"/>
          <w:u w:color="000000"/>
        </w:rPr>
        <w:t xml:space="preserve"> </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sidRPr="00B04A9B">
        <w:rPr>
          <w:rFonts w:eastAsia="Calibri"/>
          <w:color w:val="000000"/>
          <w:szCs w:val="22"/>
          <w:u w:val="single" w:color="000000"/>
        </w:rPr>
        <w:t>(3)</w:t>
      </w:r>
      <w:r>
        <w:rPr>
          <w:rFonts w:eastAsia="Calibri"/>
          <w:color w:val="000000"/>
          <w:szCs w:val="22"/>
          <w:u w:color="000000"/>
        </w:rPr>
        <w:tab/>
      </w:r>
      <w:r w:rsidRPr="00B04A9B">
        <w:rPr>
          <w:rFonts w:eastAsia="Calibri"/>
          <w:color w:val="000000"/>
          <w:szCs w:val="22"/>
          <w:u w:val="single" w:color="000000"/>
        </w:rPr>
        <w:t>communication or other office equipment purchased with campaign funds including, but not limited to, cell phones, computers, printers, copiers</w:t>
      </w:r>
      <w:r w:rsidR="00C2479F">
        <w:rPr>
          <w:rFonts w:eastAsia="Calibri"/>
          <w:color w:val="000000"/>
          <w:szCs w:val="22"/>
          <w:u w:val="single" w:color="000000"/>
        </w:rPr>
        <w:t>,</w:t>
      </w:r>
      <w:r w:rsidRPr="00B04A9B">
        <w:rPr>
          <w:rFonts w:eastAsia="Calibri"/>
          <w:color w:val="000000"/>
          <w:szCs w:val="22"/>
          <w:u w:val="single" w:color="000000"/>
        </w:rPr>
        <w:t xml:space="preserve"> and other similar devices are considered the sole property of the campaign and must be disclosed as assets of the campaign at the time of purchase. Further, this equipment must be accounted for pursuant to Sections 8</w:t>
      </w:r>
      <w:r w:rsidR="009647AE">
        <w:rPr>
          <w:rFonts w:eastAsia="Calibri"/>
          <w:color w:val="000000"/>
          <w:szCs w:val="22"/>
          <w:u w:val="single" w:color="000000"/>
        </w:rPr>
        <w:noBreakHyphen/>
      </w:r>
      <w:r w:rsidRPr="00B04A9B">
        <w:rPr>
          <w:rFonts w:eastAsia="Calibri"/>
          <w:color w:val="000000"/>
          <w:szCs w:val="22"/>
          <w:u w:val="single" w:color="000000"/>
        </w:rPr>
        <w:t>13</w:t>
      </w:r>
      <w:r w:rsidR="009647AE">
        <w:rPr>
          <w:rFonts w:eastAsia="Calibri"/>
          <w:color w:val="000000"/>
          <w:szCs w:val="22"/>
          <w:u w:val="single" w:color="000000"/>
        </w:rPr>
        <w:noBreakHyphen/>
      </w:r>
      <w:r w:rsidRPr="00B04A9B">
        <w:rPr>
          <w:rFonts w:eastAsia="Calibri"/>
          <w:color w:val="000000"/>
          <w:szCs w:val="22"/>
          <w:u w:val="single" w:color="000000"/>
        </w:rPr>
        <w:t>1368 and 8</w:t>
      </w:r>
      <w:r w:rsidR="009647AE">
        <w:rPr>
          <w:rFonts w:eastAsia="Calibri"/>
          <w:color w:val="000000"/>
          <w:szCs w:val="22"/>
          <w:u w:val="single" w:color="000000"/>
        </w:rPr>
        <w:noBreakHyphen/>
      </w:r>
      <w:r w:rsidRPr="00B04A9B">
        <w:rPr>
          <w:rFonts w:eastAsia="Calibri"/>
          <w:color w:val="000000"/>
          <w:szCs w:val="22"/>
          <w:u w:val="single" w:color="000000"/>
        </w:rPr>
        <w:t>13</w:t>
      </w:r>
      <w:r w:rsidR="009647AE">
        <w:rPr>
          <w:rFonts w:eastAsia="Calibri"/>
          <w:color w:val="000000"/>
          <w:szCs w:val="22"/>
          <w:u w:val="single" w:color="000000"/>
        </w:rPr>
        <w:noBreakHyphen/>
      </w:r>
      <w:r w:rsidRPr="00B04A9B">
        <w:rPr>
          <w:rFonts w:eastAsia="Calibri"/>
          <w:color w:val="000000"/>
          <w:szCs w:val="22"/>
          <w:u w:val="single" w:color="000000"/>
        </w:rPr>
        <w:t>1370 upon the final disbursement of a campaign account; and</w:t>
      </w:r>
    </w:p>
    <w:p w:rsidR="00B04A9B" w:rsidRPr="00811E0C"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sidRPr="00B04A9B">
        <w:rPr>
          <w:rFonts w:eastAsia="Calibri"/>
          <w:color w:val="000000"/>
          <w:szCs w:val="22"/>
          <w:u w:val="single" w:color="000000"/>
        </w:rPr>
        <w:t>(4)</w:t>
      </w:r>
      <w:r>
        <w:rPr>
          <w:rFonts w:eastAsia="Calibri"/>
          <w:color w:val="000000"/>
          <w:szCs w:val="22"/>
          <w:u w:color="000000"/>
        </w:rPr>
        <w:tab/>
      </w:r>
      <w:r w:rsidRPr="00B04A9B">
        <w:rPr>
          <w:rFonts w:eastAsia="Calibri"/>
          <w:color w:val="000000"/>
          <w:szCs w:val="22"/>
          <w:u w:val="single" w:color="000000"/>
        </w:rPr>
        <w:t>payments to campaign or office staff must be made contemporaneously with the work provided. A campaign may not employ an immediate</w:t>
      </w:r>
      <w:r w:rsidR="00811E0C">
        <w:rPr>
          <w:rFonts w:eastAsia="Calibri"/>
          <w:color w:val="000000"/>
          <w:szCs w:val="22"/>
          <w:u w:val="single" w:color="000000"/>
        </w:rPr>
        <w:t xml:space="preserve"> family member of the candidate</w:t>
      </w:r>
      <w:r w:rsidR="00811E0C">
        <w:rPr>
          <w:rFonts w:eastAsia="Calibri"/>
          <w:color w:val="000000"/>
          <w:szCs w:val="22"/>
          <w:u w:color="000000"/>
        </w:rPr>
        <w:t>.</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Pr>
          <w:rFonts w:eastAsia="Calibri"/>
          <w:color w:val="000000"/>
          <w:szCs w:val="22"/>
          <w:u w:color="000000"/>
        </w:rPr>
        <w:t xml:space="preserve">  </w:t>
      </w:r>
      <w:r>
        <w:rPr>
          <w:rFonts w:eastAsia="Calibri"/>
          <w:color w:val="000000"/>
          <w:szCs w:val="22"/>
          <w:u w:color="000000"/>
        </w:rPr>
        <w:tab/>
        <w:t>(C)(1)</w:t>
      </w:r>
      <w:r>
        <w:rPr>
          <w:rFonts w:eastAsia="Calibri"/>
          <w:color w:val="000000"/>
          <w:szCs w:val="22"/>
          <w:u w:color="000000"/>
        </w:rPr>
        <w:tab/>
      </w:r>
      <w:r w:rsidRPr="00B04A9B">
        <w:rPr>
          <w:rFonts w:eastAsia="Calibri"/>
          <w:color w:val="000000"/>
          <w:szCs w:val="22"/>
          <w:u w:color="000000"/>
        </w:rPr>
        <w:t xml:space="preserve">An expenditure </w:t>
      </w:r>
      <w:r w:rsidRPr="00B04A9B">
        <w:rPr>
          <w:rFonts w:eastAsia="Calibri"/>
          <w:strike/>
          <w:color w:val="000000"/>
          <w:szCs w:val="22"/>
          <w:u w:color="000000"/>
        </w:rPr>
        <w:t>of more than twenty</w:t>
      </w:r>
      <w:r w:rsidR="009647AE">
        <w:rPr>
          <w:rFonts w:eastAsia="Calibri"/>
          <w:strike/>
          <w:color w:val="000000"/>
          <w:szCs w:val="22"/>
          <w:u w:color="000000"/>
        </w:rPr>
        <w:noBreakHyphen/>
      </w:r>
      <w:r w:rsidRPr="00B04A9B">
        <w:rPr>
          <w:rFonts w:eastAsia="Calibri"/>
          <w:strike/>
          <w:color w:val="000000"/>
          <w:szCs w:val="22"/>
          <w:u w:color="000000"/>
        </w:rPr>
        <w:t>five dollars</w:t>
      </w:r>
      <w:r w:rsidRPr="00B04A9B">
        <w:rPr>
          <w:rFonts w:eastAsia="Calibri"/>
          <w:color w:val="000000"/>
          <w:szCs w:val="22"/>
          <w:u w:color="000000"/>
        </w:rPr>
        <w:t xml:space="preserve"> drawn upon a campaign account must be made by: </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(a)</w:t>
      </w:r>
      <w:r>
        <w:rPr>
          <w:rFonts w:eastAsia="Calibri"/>
          <w:color w:val="000000"/>
          <w:szCs w:val="22"/>
          <w:u w:color="000000"/>
        </w:rPr>
        <w:tab/>
      </w:r>
      <w:r w:rsidRPr="00B04A9B">
        <w:rPr>
          <w:rFonts w:eastAsia="Calibri"/>
          <w:color w:val="000000"/>
          <w:szCs w:val="22"/>
          <w:u w:color="000000"/>
        </w:rPr>
        <w:t xml:space="preserve">a </w:t>
      </w:r>
      <w:r w:rsidRPr="00B04A9B">
        <w:rPr>
          <w:rFonts w:eastAsia="Calibri"/>
          <w:strike/>
          <w:color w:val="000000"/>
          <w:szCs w:val="22"/>
          <w:u w:color="000000"/>
        </w:rPr>
        <w:t>written instrument</w:t>
      </w:r>
      <w:r w:rsidRPr="00B04A9B">
        <w:rPr>
          <w:rFonts w:eastAsia="Calibri"/>
          <w:color w:val="000000"/>
          <w:szCs w:val="22"/>
          <w:u w:color="000000"/>
        </w:rPr>
        <w:t xml:space="preserve"> </w:t>
      </w:r>
      <w:r w:rsidRPr="00B04A9B">
        <w:rPr>
          <w:rFonts w:eastAsia="Calibri"/>
          <w:color w:val="000000"/>
          <w:szCs w:val="22"/>
          <w:u w:val="single" w:color="000000"/>
        </w:rPr>
        <w:t>check drawn upon a campaign account</w:t>
      </w:r>
      <w:r w:rsidRPr="00B04A9B">
        <w:rPr>
          <w:rFonts w:eastAsia="Calibri"/>
          <w:color w:val="000000"/>
          <w:szCs w:val="22"/>
          <w:u w:color="000000"/>
        </w:rPr>
        <w:t>;</w:t>
      </w:r>
    </w:p>
    <w:p w:rsid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 xml:space="preserve">(b) </w:t>
      </w:r>
      <w:r>
        <w:rPr>
          <w:rFonts w:eastAsia="Calibri"/>
          <w:color w:val="000000"/>
          <w:szCs w:val="22"/>
          <w:u w:color="000000"/>
        </w:rPr>
        <w:tab/>
      </w:r>
      <w:r w:rsidRPr="00B04A9B">
        <w:rPr>
          <w:rFonts w:eastAsia="Calibri"/>
          <w:color w:val="000000"/>
          <w:szCs w:val="22"/>
          <w:u w:color="000000"/>
        </w:rPr>
        <w:t xml:space="preserve">debit </w:t>
      </w:r>
      <w:r w:rsidRPr="00B04A9B">
        <w:rPr>
          <w:rFonts w:eastAsia="Calibri"/>
          <w:color w:val="000000"/>
          <w:szCs w:val="22"/>
          <w:u w:val="single" w:color="000000"/>
        </w:rPr>
        <w:t>or credit</w:t>
      </w:r>
      <w:r w:rsidRPr="00B04A9B">
        <w:rPr>
          <w:rFonts w:eastAsia="Calibri"/>
          <w:color w:val="000000"/>
          <w:szCs w:val="22"/>
          <w:u w:color="000000"/>
        </w:rPr>
        <w:t xml:space="preserve"> card; or</w:t>
      </w:r>
    </w:p>
    <w:p w:rsid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 xml:space="preserve">(c) </w:t>
      </w:r>
      <w:r>
        <w:rPr>
          <w:rFonts w:eastAsia="Calibri"/>
          <w:color w:val="000000"/>
          <w:szCs w:val="22"/>
          <w:u w:color="000000"/>
        </w:rPr>
        <w:tab/>
      </w:r>
      <w:r w:rsidRPr="00B04A9B">
        <w:rPr>
          <w:rFonts w:eastAsia="Calibri"/>
          <w:color w:val="000000"/>
          <w:szCs w:val="22"/>
          <w:u w:color="000000"/>
        </w:rPr>
        <w:t>online transfers.</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sidRPr="00B04A9B">
        <w:rPr>
          <w:rFonts w:eastAsia="Calibri"/>
          <w:color w:val="000000"/>
          <w:szCs w:val="22"/>
          <w:u w:val="single" w:color="000000"/>
        </w:rPr>
        <w:t>(2)</w:t>
      </w:r>
      <w:r>
        <w:rPr>
          <w:rFonts w:eastAsia="Calibri"/>
          <w:color w:val="000000"/>
          <w:szCs w:val="22"/>
          <w:u w:color="000000"/>
        </w:rPr>
        <w:tab/>
      </w:r>
      <w:r w:rsidRPr="00B04A9B">
        <w:rPr>
          <w:rFonts w:eastAsia="Calibri"/>
          <w:strike/>
          <w:color w:val="000000"/>
          <w:szCs w:val="22"/>
          <w:u w:color="000000"/>
        </w:rPr>
        <w:t>The campaign account must contain the name of the candidate or committee, and the expenditure must contain the name of the recipient.</w:t>
      </w:r>
      <w:r w:rsidRPr="00B04A9B">
        <w:rPr>
          <w:rFonts w:eastAsia="Calibri"/>
          <w:color w:val="000000"/>
          <w:szCs w:val="22"/>
          <w:u w:color="000000"/>
        </w:rPr>
        <w:t xml:space="preserve"> These expenditures must be reported pursuant to the provisions of Section 8</w:t>
      </w:r>
      <w:r w:rsidR="009647AE">
        <w:rPr>
          <w:rFonts w:eastAsia="Calibri"/>
          <w:color w:val="000000"/>
          <w:szCs w:val="22"/>
          <w:u w:color="000000"/>
        </w:rPr>
        <w:noBreakHyphen/>
      </w:r>
      <w:r w:rsidRPr="00B04A9B">
        <w:rPr>
          <w:rFonts w:eastAsia="Calibri"/>
          <w:color w:val="000000"/>
          <w:szCs w:val="22"/>
          <w:u w:color="000000"/>
        </w:rPr>
        <w:t>13</w:t>
      </w:r>
      <w:r w:rsidR="009647AE">
        <w:rPr>
          <w:rFonts w:eastAsia="Calibri"/>
          <w:color w:val="000000"/>
          <w:szCs w:val="22"/>
          <w:u w:color="000000"/>
        </w:rPr>
        <w:noBreakHyphen/>
      </w:r>
      <w:r w:rsidRPr="00B04A9B">
        <w:rPr>
          <w:rFonts w:eastAsia="Calibri"/>
          <w:color w:val="000000"/>
          <w:szCs w:val="22"/>
          <w:u w:color="000000"/>
        </w:rPr>
        <w:t>1308.</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szCs w:val="22"/>
          <w:u w:color="000000"/>
        </w:rPr>
      </w:pPr>
      <w:r w:rsidRPr="00B04A9B">
        <w:rPr>
          <w:rFonts w:eastAsia="Calibri"/>
          <w:color w:val="000000"/>
          <w:szCs w:val="22"/>
          <w:u w:color="000000"/>
        </w:rPr>
        <w:tab/>
      </w:r>
      <w:r w:rsidRPr="00B04A9B">
        <w:rPr>
          <w:rFonts w:eastAsia="Calibri"/>
          <w:color w:val="000000"/>
          <w:szCs w:val="22"/>
          <w:u w:color="000000"/>
        </w:rPr>
        <w:tab/>
      </w:r>
      <w:r w:rsidRPr="00B04A9B">
        <w:rPr>
          <w:rFonts w:eastAsia="Calibri"/>
          <w:strike/>
          <w:color w:val="000000"/>
          <w:szCs w:val="22"/>
          <w:u w:color="000000"/>
        </w:rPr>
        <w:t>(2)</w:t>
      </w:r>
      <w:r>
        <w:rPr>
          <w:rFonts w:eastAsia="Calibri"/>
          <w:color w:val="000000"/>
          <w:szCs w:val="22"/>
          <w:u w:color="000000"/>
        </w:rPr>
        <w:tab/>
      </w:r>
      <w:r w:rsidRPr="00B04A9B">
        <w:rPr>
          <w:rFonts w:eastAsia="Calibri"/>
          <w:strike/>
          <w:color w:val="000000"/>
          <w:szCs w:val="22"/>
          <w:u w:color="000000"/>
        </w:rPr>
        <w:t>Expenditures of twenty</w:t>
      </w:r>
      <w:r w:rsidR="009647AE">
        <w:rPr>
          <w:rFonts w:eastAsia="Calibri"/>
          <w:strike/>
          <w:color w:val="000000"/>
          <w:szCs w:val="22"/>
          <w:u w:color="000000"/>
        </w:rPr>
        <w:noBreakHyphen/>
      </w:r>
      <w:r w:rsidRPr="00B04A9B">
        <w:rPr>
          <w:rFonts w:eastAsia="Calibri"/>
          <w:strike/>
          <w:color w:val="000000"/>
          <w:szCs w:val="22"/>
          <w:u w:color="000000"/>
        </w:rPr>
        <w:t>five dollars or less that are not made by a written instrument, debit card, or online transfer containing the name of the candidate or committee and the name of the recipient must be accounted for by a written receipt or written record.</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B04A9B">
        <w:rPr>
          <w:rFonts w:eastAsia="Calibri"/>
          <w:color w:val="000000"/>
          <w:szCs w:val="22"/>
          <w:u w:color="000000"/>
        </w:rPr>
        <w:tab/>
      </w:r>
      <w:r w:rsidRPr="00B04A9B">
        <w:rPr>
          <w:rFonts w:eastAsia="Calibri"/>
          <w:color w:val="000000"/>
          <w:szCs w:val="22"/>
          <w:u w:color="000000"/>
        </w:rPr>
        <w:tab/>
      </w:r>
      <w:r>
        <w:rPr>
          <w:rFonts w:eastAsia="Calibri"/>
          <w:color w:val="000000"/>
          <w:szCs w:val="22"/>
          <w:u w:val="single" w:color="000000"/>
        </w:rPr>
        <w:t>(</w:t>
      </w:r>
      <w:r w:rsidRPr="00B04A9B">
        <w:rPr>
          <w:rFonts w:eastAsia="Calibri"/>
          <w:color w:val="000000"/>
          <w:szCs w:val="22"/>
          <w:u w:val="single" w:color="000000"/>
        </w:rPr>
        <w:t>3)</w:t>
      </w:r>
      <w:r>
        <w:rPr>
          <w:rFonts w:eastAsia="Calibri"/>
          <w:color w:val="000000"/>
          <w:szCs w:val="22"/>
          <w:u w:color="000000"/>
        </w:rPr>
        <w:tab/>
      </w:r>
      <w:r w:rsidRPr="00B04A9B">
        <w:rPr>
          <w:rFonts w:eastAsia="Calibri"/>
          <w:color w:val="000000"/>
          <w:szCs w:val="22"/>
          <w:u w:val="single" w:color="000000"/>
        </w:rPr>
        <w:t>Nothing in this secti</w:t>
      </w:r>
      <w:r>
        <w:rPr>
          <w:rFonts w:eastAsia="Calibri"/>
          <w:color w:val="000000"/>
          <w:szCs w:val="22"/>
          <w:u w:val="single" w:color="000000"/>
        </w:rPr>
        <w:t>on applies to an expenditure of</w:t>
      </w:r>
      <w:r w:rsidRPr="00B04A9B">
        <w:rPr>
          <w:rFonts w:eastAsia="Calibri"/>
          <w:color w:val="000000"/>
          <w:szCs w:val="22"/>
          <w:u w:val="single" w:color="000000"/>
        </w:rPr>
        <w:t xml:space="preserve"> funds not contained in a campaign bank account.</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(D)</w:t>
      </w:r>
      <w:r>
        <w:rPr>
          <w:rFonts w:eastAsia="Calibri"/>
          <w:color w:val="000000"/>
          <w:szCs w:val="22"/>
          <w:u w:color="000000"/>
        </w:rPr>
        <w:tab/>
      </w:r>
      <w:r w:rsidRPr="00B04A9B">
        <w:rPr>
          <w:rFonts w:eastAsia="Calibri"/>
          <w:color w:val="000000"/>
          <w:szCs w:val="22"/>
          <w:u w:color="000000"/>
        </w:rPr>
        <w:t>An expenditure may not be made that is clearly in excess of the fair market value of services, materials, facilities, or other things of value received in exchange.</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sidRPr="00B04A9B">
        <w:rPr>
          <w:rFonts w:eastAsia="Calibri"/>
          <w:strike/>
          <w:color w:val="000000"/>
          <w:szCs w:val="22"/>
          <w:u w:color="000000"/>
        </w:rPr>
        <w:t>(E)</w:t>
      </w:r>
      <w:r w:rsidRPr="00B04A9B">
        <w:rPr>
          <w:rFonts w:eastAsia="Calibri"/>
          <w:color w:val="000000"/>
          <w:szCs w:val="22"/>
          <w:u w:color="000000"/>
        </w:rPr>
        <w:tab/>
      </w:r>
      <w:r w:rsidRPr="00B04A9B">
        <w:rPr>
          <w:rFonts w:eastAsia="Calibri"/>
          <w:strike/>
          <w:color w:val="000000"/>
          <w:szCs w:val="22"/>
          <w:u w:color="000000"/>
        </w:rPr>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009647AE">
        <w:rPr>
          <w:rFonts w:eastAsia="Calibri"/>
          <w:strike/>
          <w:color w:val="000000"/>
          <w:szCs w:val="22"/>
          <w:u w:color="000000"/>
        </w:rPr>
        <w:noBreakHyphen/>
      </w:r>
      <w:r w:rsidRPr="00B04A9B">
        <w:rPr>
          <w:rFonts w:eastAsia="Calibri"/>
          <w:strike/>
          <w:color w:val="000000"/>
          <w:szCs w:val="22"/>
          <w:u w:color="000000"/>
        </w:rPr>
        <w:t>five dollars for each expenditure.</w:t>
      </w:r>
      <w:r w:rsidRPr="00B04A9B">
        <w:rPr>
          <w:rFonts w:eastAsia="Calibri"/>
          <w:color w:val="000000"/>
          <w:szCs w:val="22"/>
          <w:u w:color="000000"/>
        </w:rPr>
        <w:t xml:space="preserve">” </w:t>
      </w:r>
    </w:p>
    <w:p w:rsidR="004210BD" w:rsidRDefault="0042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0BD" w:rsidRDefault="0042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4A9B">
        <w:t>3</w:t>
      </w:r>
      <w:r>
        <w:t>.</w:t>
      </w:r>
      <w:r>
        <w:tab/>
        <w:t>This act takes effect upon approval by the Governor.</w:t>
      </w:r>
    </w:p>
    <w:p w:rsidR="002E3EDD" w:rsidRDefault="009647AE" w:rsidP="00C34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620F" w:rsidRDefault="0091620F" w:rsidP="0091620F">
      <w:pPr>
        <w:suppressAutoHyphens/>
      </w:pPr>
    </w:p>
    <w:sectPr w:rsidR="0091620F" w:rsidSect="009162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79F" w:rsidRDefault="00C2479F" w:rsidP="009F0C77">
      <w:r>
        <w:separator/>
      </w:r>
    </w:p>
  </w:endnote>
  <w:endnote w:type="continuationSeparator" w:id="0">
    <w:p w:rsidR="00C2479F" w:rsidRDefault="00C247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290E00-AA8A-4126-AEFA-1B7A4DBE22CD}"/>
    <w:embedBold r:id="rId2" w:fontKey="{02FBA4CF-4869-4331-95DB-C911E1ED1E42}"/>
  </w:font>
  <w:font w:name="Calibri">
    <w:panose1 w:val="020F0502020204030204"/>
    <w:charset w:val="00"/>
    <w:family w:val="swiss"/>
    <w:pitch w:val="variable"/>
    <w:sig w:usb0="E10002FF" w:usb1="4000ACFF" w:usb2="00000009" w:usb3="00000000" w:csb0="0000019F" w:csb1="00000000"/>
    <w:embedRegular r:id="rId3" w:fontKey="{05546582-5E97-479A-9579-4B1CC5A20E2A}"/>
  </w:font>
  <w:font w:name="Segoe UI">
    <w:panose1 w:val="020B0502040204020203"/>
    <w:charset w:val="00"/>
    <w:family w:val="swiss"/>
    <w:pitch w:val="variable"/>
    <w:sig w:usb0="E10022FF" w:usb1="C000E47F" w:usb2="00000029" w:usb3="00000000" w:csb0="000001DF" w:csb1="00000000"/>
    <w:embedRegular r:id="rId4" w:fontKey="{75E091D3-E526-4D89-A5BA-AF8D2728865C}"/>
  </w:font>
  <w:font w:name="Cambria">
    <w:panose1 w:val="02040503050406030204"/>
    <w:charset w:val="00"/>
    <w:family w:val="roman"/>
    <w:pitch w:val="variable"/>
    <w:sig w:usb0="E00002FF" w:usb1="400004FF" w:usb2="00000000" w:usb3="00000000" w:csb0="0000019F" w:csb1="00000000"/>
    <w:embedRegular r:id="rId5" w:fontKey="{A8D6F96A-8F4A-4B9B-91CA-419C9061F0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EDD" w:rsidRPr="0091620F" w:rsidRDefault="0091620F" w:rsidP="0091620F">
    <w:pPr>
      <w:pStyle w:val="Footer"/>
      <w:tabs>
        <w:tab w:val="clear" w:pos="4680"/>
        <w:tab w:val="clear" w:pos="9360"/>
        <w:tab w:val="center" w:pos="2995"/>
      </w:tabs>
      <w:spacing w:before="120"/>
    </w:pPr>
    <w:r>
      <w:t>[3195]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79F" w:rsidRDefault="00C2479F" w:rsidP="009F0C77">
      <w:r>
        <w:separator/>
      </w:r>
    </w:p>
  </w:footnote>
  <w:footnote w:type="continuationSeparator" w:id="0">
    <w:p w:rsidR="00C2479F" w:rsidRDefault="00C247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37ZW15"/>
    <w:docVar w:name="CoverBillType" w:val="b"/>
    <w:docVar w:name="docpath" w:val="L:\Council\bills\NL\13437ZW15.DOCX"/>
    <w:docVar w:name="dvBillNumber" w:val="3195"/>
    <w:docVar w:name="dvBillNumberPrefix" w:val="H. "/>
    <w:docVar w:name="dvOriginalBody" w:val="House"/>
    <w:docVar w:name="dvSteno" w:val="NL"/>
    <w:docVar w:name="NameofBody" w:val="h"/>
    <w:docVar w:name="vgroup2" w:val="Council"/>
  </w:docVars>
  <w:rsids>
    <w:rsidRoot w:val="004210BD"/>
    <w:rsid w:val="00011869"/>
    <w:rsid w:val="00015CD6"/>
    <w:rsid w:val="00051C20"/>
    <w:rsid w:val="000E1785"/>
    <w:rsid w:val="000F40FA"/>
    <w:rsid w:val="0010637E"/>
    <w:rsid w:val="0010776B"/>
    <w:rsid w:val="00133E66"/>
    <w:rsid w:val="001435A3"/>
    <w:rsid w:val="001816FE"/>
    <w:rsid w:val="001D08F2"/>
    <w:rsid w:val="001D525B"/>
    <w:rsid w:val="001D7F4F"/>
    <w:rsid w:val="0021376B"/>
    <w:rsid w:val="002321B6"/>
    <w:rsid w:val="00250967"/>
    <w:rsid w:val="002543C8"/>
    <w:rsid w:val="00284AAE"/>
    <w:rsid w:val="002E3EDD"/>
    <w:rsid w:val="002E5912"/>
    <w:rsid w:val="00301B21"/>
    <w:rsid w:val="00325348"/>
    <w:rsid w:val="0032732C"/>
    <w:rsid w:val="00336AD0"/>
    <w:rsid w:val="0037079A"/>
    <w:rsid w:val="003D01E8"/>
    <w:rsid w:val="003E5288"/>
    <w:rsid w:val="003F6D79"/>
    <w:rsid w:val="0041760A"/>
    <w:rsid w:val="00417C01"/>
    <w:rsid w:val="004210BD"/>
    <w:rsid w:val="004809EE"/>
    <w:rsid w:val="004D1143"/>
    <w:rsid w:val="004E7D54"/>
    <w:rsid w:val="005273C6"/>
    <w:rsid w:val="00530A69"/>
    <w:rsid w:val="00533C23"/>
    <w:rsid w:val="00545593"/>
    <w:rsid w:val="00577C6C"/>
    <w:rsid w:val="005C2FE2"/>
    <w:rsid w:val="005E2BC9"/>
    <w:rsid w:val="00605102"/>
    <w:rsid w:val="006215AA"/>
    <w:rsid w:val="00634FBC"/>
    <w:rsid w:val="006913C9"/>
    <w:rsid w:val="0069470D"/>
    <w:rsid w:val="006B38C0"/>
    <w:rsid w:val="00734F00"/>
    <w:rsid w:val="007A70AE"/>
    <w:rsid w:val="00811E0C"/>
    <w:rsid w:val="008240DE"/>
    <w:rsid w:val="008362E8"/>
    <w:rsid w:val="008A1768"/>
    <w:rsid w:val="008F0093"/>
    <w:rsid w:val="008F0F33"/>
    <w:rsid w:val="008F4429"/>
    <w:rsid w:val="0091620F"/>
    <w:rsid w:val="0094021A"/>
    <w:rsid w:val="009647AE"/>
    <w:rsid w:val="009B44AF"/>
    <w:rsid w:val="009C6A0B"/>
    <w:rsid w:val="009F0C77"/>
    <w:rsid w:val="009F4DD1"/>
    <w:rsid w:val="00A41684"/>
    <w:rsid w:val="00A64E80"/>
    <w:rsid w:val="00A66023"/>
    <w:rsid w:val="00A72BCD"/>
    <w:rsid w:val="00A741D9"/>
    <w:rsid w:val="00A833AB"/>
    <w:rsid w:val="00A9741D"/>
    <w:rsid w:val="00AD4B17"/>
    <w:rsid w:val="00AF5E2F"/>
    <w:rsid w:val="00B04A9B"/>
    <w:rsid w:val="00B412D4"/>
    <w:rsid w:val="00BE3C22"/>
    <w:rsid w:val="00C0345E"/>
    <w:rsid w:val="00C2479F"/>
    <w:rsid w:val="00C3434A"/>
    <w:rsid w:val="00C3483A"/>
    <w:rsid w:val="00C74E9D"/>
    <w:rsid w:val="00C82FD3"/>
    <w:rsid w:val="00C92819"/>
    <w:rsid w:val="00CC0BA6"/>
    <w:rsid w:val="00CC6B7B"/>
    <w:rsid w:val="00CD2089"/>
    <w:rsid w:val="00D73A67"/>
    <w:rsid w:val="00D970A9"/>
    <w:rsid w:val="00DD1D0B"/>
    <w:rsid w:val="00DF3845"/>
    <w:rsid w:val="00E41911"/>
    <w:rsid w:val="00E670BB"/>
    <w:rsid w:val="00E86004"/>
    <w:rsid w:val="00E92EEF"/>
    <w:rsid w:val="00F24442"/>
    <w:rsid w:val="00F50AE3"/>
    <w:rsid w:val="00F67CF1"/>
    <w:rsid w:val="00F840F0"/>
    <w:rsid w:val="00FB0D0D"/>
    <w:rsid w:val="00FB43B4"/>
    <w:rsid w:val="00FB5A31"/>
    <w:rsid w:val="00FC0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47D13C-A8A0-4B11-A3FA-A6CF5A422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16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16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AA72F-A004-4507-A124-C974B1C50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FC32FEBB.dotm</Template>
  <TotalTime>0</TotalTime>
  <Pages>1</Pages>
  <Words>936</Words>
  <Characters>4895</Characters>
  <Application>Microsoft Office Word</Application>
  <DocSecurity>0</DocSecurity>
  <Lines>124</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3195 Text of Previous Version (Dec. 18, 2014) - South Carolina Legislature Online</dc:title>
  <dc:creator>nancylee</dc:creator>
  <cp:lastModifiedBy>N Cumfer</cp:lastModifiedBy>
  <cp:revision>2</cp:revision>
  <cp:lastPrinted>2014-12-17T22:18:00Z</cp:lastPrinted>
  <dcterms:created xsi:type="dcterms:W3CDTF">2014-12-18T18:19:00Z</dcterms:created>
  <dcterms:modified xsi:type="dcterms:W3CDTF">2014-12-18T18:19:00Z</dcterms:modified>
</cp:coreProperties>
</file>