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9970BB" w:rsidRDefault="009970BB" w:rsidP="009970BB">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6F4376">
        <w:t>Reps. Pope, Simrill, Ballentine, Felder, Atwater, Bedingfield, Spires, Clary, Collins, Delleney, Hamilton, Hiott, Hixon, V.S. Moss, Norman, Stringer and Toole</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F661A7">
      <w:pPr>
        <w:pStyle w:val="BillDots"/>
        <w:tabs>
          <w:tab w:val="clear" w:pos="216"/>
          <w:tab w:val="clear" w:pos="432"/>
          <w:tab w:val="clear" w:pos="648"/>
          <w:tab w:val="clear" w:pos="864"/>
          <w:tab w:val="clear" w:pos="1080"/>
          <w:tab w:val="clear" w:pos="1296"/>
          <w:tab w:val="clear" w:pos="5904"/>
          <w:tab w:val="right" w:pos="5933"/>
        </w:tabs>
      </w:pPr>
      <w:r>
        <w:t>S. Printed 4/23/15--H.</w:t>
      </w:r>
      <w:r w:rsidR="00F661A7">
        <w:tab/>
        <w:t>[SEC 4/28/15 2:17 PM]</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14, 2015.</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3313) </w:t>
      </w:r>
      <w:r w:rsidRPr="009970BB">
        <w:rPr>
          <w:color w:val="000000" w:themeColor="text1"/>
          <w:u w:color="000000" w:themeColor="text1"/>
        </w:rPr>
        <w:t>to amend the Code of Laws of South Carolina, 1976, by adding Section 12</w:t>
      </w:r>
      <w:r w:rsidRPr="009970BB">
        <w:rPr>
          <w:color w:val="000000" w:themeColor="text1"/>
          <w:u w:color="000000" w:themeColor="text1"/>
        </w:rPr>
        <w:noBreakHyphen/>
        <w:t>43</w:t>
      </w:r>
      <w:r w:rsidRPr="009970BB">
        <w:rPr>
          <w:color w:val="000000" w:themeColor="text1"/>
          <w:u w:color="000000" w:themeColor="text1"/>
        </w:rPr>
        <w:noBreakHyphen/>
        <w:t>222 so as to provide when calculating roll</w:t>
      </w:r>
      <w:r w:rsidRPr="009970BB">
        <w:rPr>
          <w:color w:val="000000" w:themeColor="text1"/>
          <w:u w:color="000000" w:themeColor="text1"/>
        </w:rPr>
        <w:noBreakHyphen/>
        <w:t>back tax due on a</w:t>
      </w:r>
      <w:r>
        <w:t xml:space="preserve"> parcel, etc., respectfully</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2A3B9E"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9E">
        <w:t>Amend the bill, as and if amended, page 3, Section 12-43-220(c)(2)(vii) as contained in SECTION 4, by adding a new sentence at the end of subitem (B) to read:</w:t>
      </w:r>
    </w:p>
    <w:p w:rsidR="009970BB" w:rsidRPr="002A3B9E"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9E">
        <w:t>/</w:t>
      </w:r>
      <w:r w:rsidRPr="002A3B9E">
        <w:tab/>
      </w:r>
      <w:r w:rsidRPr="002A3B9E">
        <w:rPr>
          <w:u w:val="single"/>
        </w:rPr>
        <w:t>The provisions of this subitem making the additional taxes and penalties assessed pursuant to subitem (A) the sole personal liability of the transferor also apply to transfers required as a result of a property settlement 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2A3B9E">
        <w:tab/>
        <w:t>/</w:t>
      </w:r>
    </w:p>
    <w:p w:rsidR="009970BB" w:rsidRPr="002A3B9E"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9E">
        <w:t>Renumber sections to conform.</w:t>
      </w:r>
    </w:p>
    <w:p w:rsid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9E">
        <w:t>Amend title to conform.</w:t>
      </w:r>
    </w:p>
    <w:p w:rsidR="009970BB" w:rsidRPr="002A3B9E"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lastRenderedPageBreak/>
        <w:t>STATEMENT OF ESTIMATED FISCAL IMPACT</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970BB">
        <w:rPr>
          <w:b/>
          <w:bCs/>
          <w:szCs w:val="22"/>
        </w:rPr>
        <w:t>Fiscal Impact Summary</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70BB">
        <w:rPr>
          <w:rFonts w:eastAsiaTheme="minorHAnsi" w:cstheme="minorBidi"/>
          <w:szCs w:val="22"/>
        </w:rPr>
        <w:tab/>
        <w:t xml:space="preserve">The impact on local revenue will depend upon the percentage of property platted as open space and the value determination for the open space percentage of the property. If all of properties subject to roll-back taxes elected to include the minimum ten percent green space for conservation, local roll-back tax revenue may be reduced up to $1,070,000 annually statewide beginning with tax year 2015.  </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9970BB">
        <w:rPr>
          <w:rFonts w:eastAsiaTheme="majorEastAsia" w:cstheme="majorBidi"/>
          <w:b/>
          <w:bCs/>
          <w:szCs w:val="22"/>
        </w:rPr>
        <w:t>Explanation of Fiscal Impact</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970BB">
        <w:rPr>
          <w:b/>
          <w:bCs/>
          <w:szCs w:val="22"/>
        </w:rPr>
        <w:t>Local Revenue</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70BB">
        <w:rPr>
          <w:rFonts w:eastAsiaTheme="minorHAnsi" w:cstheme="minorBidi"/>
          <w:szCs w:val="22"/>
        </w:rPr>
        <w:tab/>
        <w:t xml:space="preserve">This bill amends Section 12-43-222 on the calculation of roll-back tax due on a parcel of real property changed from agricultural to commercial or residential use to specify that if at least ten percent of a parcel is platted for green space for conservation or open space, the open space portion of the property must be valued as such for calculation of the roll-back tax. Currently, property converted from agricultural use to commercial or residential property is assessed a penalty based upon the property taxes that would have been collected for the past five years if the property had been taxed under the new property assessment classification and value. Based upon information from county assessors, we estimate that roll-back taxes statewide total approximately $10,700,000 per year. If all of these properties elected to include the minimum ten percent green space for conservation, local roll-back tax revenue may be reduced up to $1,070,000 annually statewide beginning with tax year 2015. The reduction in local revenue will depend upon the percentage of property platted as open space and the value determination for the open space percentage of the property. </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70BB">
        <w:rPr>
          <w:rFonts w:eastAsiaTheme="minorHAnsi" w:cstheme="minorBidi"/>
          <w:szCs w:val="22"/>
        </w:rPr>
        <w:tab/>
        <w:t xml:space="preserve">Additionally, the bill adds </w:t>
      </w:r>
      <w:r>
        <w:rPr>
          <w:rFonts w:eastAsiaTheme="minorHAnsi" w:cstheme="minorBidi"/>
          <w:szCs w:val="22"/>
        </w:rPr>
        <w:t>sub</w:t>
      </w:r>
      <w:r w:rsidRPr="009970BB">
        <w:rPr>
          <w:rFonts w:eastAsiaTheme="minorHAnsi" w:cstheme="minorBidi"/>
          <w:szCs w:val="22"/>
        </w:rPr>
        <w:t xml:space="preserve">item B to Section 12-43-220(c)(2)(vii) to specify that when a property that has undergone an assessable transfer of interest and is also subject to penalties because the previous owner improperly received the reduced four percent assessment ratio, the responsibility for the penalties and additional property taxes due belongs with the original owner of the property and do not constitute a lien on the property. Based upon responses received from three county assessors, counties do not typically levy penalties on the original property owner after a sale has occurred since collecting these would be unenforceable. Therefore, this section of the bill is not expected to impact local revenues. </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970BB"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C35E94" w:rsidRDefault="00C35E94"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1.</w:t>
      </w:r>
      <w:r w:rsidRPr="008C7C2D">
        <w:rPr>
          <w:color w:val="000000" w:themeColor="text1"/>
          <w:u w:color="000000" w:themeColor="text1"/>
        </w:rPr>
        <w:tab/>
        <w:t>Article 3, Chapter 43, Title 12 of the 1976 Code is amended by adding:</w:t>
      </w:r>
    </w:p>
    <w:p w:rsidR="00A3438E"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BA6CB8" w:rsidRPr="008C7C2D">
        <w:rPr>
          <w:color w:val="000000" w:themeColor="text1"/>
          <w:u w:color="000000" w:themeColor="text1"/>
        </w:rPr>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222.</w:t>
      </w:r>
      <w:r w:rsidR="00BA6CB8" w:rsidRPr="008C7C2D">
        <w:rPr>
          <w:color w:val="000000" w:themeColor="text1"/>
          <w:u w:color="000000" w:themeColor="text1"/>
        </w:rPr>
        <w:tab/>
        <w:t>Notwithstanding the provisions of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220(d)(4), the property tax value, as defined in Section 12</w:t>
      </w:r>
      <w:r w:rsidR="00C35E94">
        <w:rPr>
          <w:color w:val="000000" w:themeColor="text1"/>
          <w:u w:color="000000" w:themeColor="text1"/>
        </w:rPr>
        <w:noBreakHyphen/>
      </w:r>
      <w:r w:rsidR="00BA6CB8" w:rsidRPr="008C7C2D">
        <w:rPr>
          <w:color w:val="000000" w:themeColor="text1"/>
          <w:u w:color="000000" w:themeColor="text1"/>
        </w:rPr>
        <w:t>37</w:t>
      </w:r>
      <w:r w:rsidR="00C35E94">
        <w:rPr>
          <w:color w:val="000000" w:themeColor="text1"/>
          <w:u w:color="000000" w:themeColor="text1"/>
        </w:rPr>
        <w:noBreakHyphen/>
      </w:r>
      <w:r w:rsidR="00BA6CB8" w:rsidRPr="008C7C2D">
        <w:rPr>
          <w:color w:val="000000" w:themeColor="text1"/>
          <w:u w:color="000000" w:themeColor="text1"/>
        </w:rPr>
        <w:t xml:space="preserve">3135, of that portion of a parcel of real property changed from agricultural use for purposes of residential or commercial development that is designated on the recorded development plat of the parcel as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if it equals ten percent or more of the area included within the outermost boundaries of the residential or commercial development must be valued according to its new </w:t>
      </w:r>
      <w:r w:rsidR="00F661A7">
        <w:rPr>
          <w:color w:val="000000" w:themeColor="text1"/>
          <w:u w:color="000000" w:themeColor="text1"/>
        </w:rPr>
        <w:t>‘</w:t>
      </w:r>
      <w:r w:rsidR="00BA6CB8" w:rsidRPr="008C7C2D">
        <w:rPr>
          <w:color w:val="000000" w:themeColor="text1"/>
          <w:u w:color="000000" w:themeColor="text1"/>
        </w:rPr>
        <w:t>green space</w:t>
      </w:r>
      <w:r w:rsidR="00F661A7">
        <w:rPr>
          <w:color w:val="000000" w:themeColor="text1"/>
          <w:u w:color="000000" w:themeColor="text1"/>
        </w:rPr>
        <w:t>’</w:t>
      </w:r>
      <w:r w:rsidR="00BA6CB8" w:rsidRPr="008C7C2D">
        <w:rPr>
          <w:color w:val="000000" w:themeColor="text1"/>
          <w:u w:color="000000" w:themeColor="text1"/>
        </w:rPr>
        <w:t xml:space="preserve"> or </w:t>
      </w:r>
      <w:r w:rsidR="00F661A7">
        <w:rPr>
          <w:color w:val="000000" w:themeColor="text1"/>
          <w:u w:color="000000" w:themeColor="text1"/>
        </w:rPr>
        <w:t>‘</w:t>
      </w:r>
      <w:r w:rsidR="00BA6CB8" w:rsidRPr="008C7C2D">
        <w:rPr>
          <w:color w:val="000000" w:themeColor="text1"/>
          <w:u w:color="000000" w:themeColor="text1"/>
        </w:rPr>
        <w:t>open space</w:t>
      </w:r>
      <w:r w:rsidR="00F661A7">
        <w:rPr>
          <w:color w:val="000000" w:themeColor="text1"/>
          <w:u w:color="000000" w:themeColor="text1"/>
        </w:rPr>
        <w:t>’</w:t>
      </w:r>
      <w:r w:rsidR="00BA6CB8" w:rsidRPr="008C7C2D">
        <w:rPr>
          <w:color w:val="000000" w:themeColor="text1"/>
          <w:u w:color="000000" w:themeColor="text1"/>
        </w:rPr>
        <w:t xml:space="preserve"> use for all purposes in calculating roll</w:t>
      </w:r>
      <w:r w:rsidR="00C35E94">
        <w:rPr>
          <w:color w:val="000000" w:themeColor="text1"/>
          <w:u w:color="000000" w:themeColor="text1"/>
        </w:rPr>
        <w:noBreakHyphen/>
      </w:r>
      <w:r w:rsidR="00BA6CB8" w:rsidRPr="008C7C2D">
        <w:rPr>
          <w:color w:val="000000" w:themeColor="text1"/>
          <w:u w:color="000000" w:themeColor="text1"/>
        </w:rPr>
        <w:t xml:space="preserve">back tax due on the parcel.  As used in this section only, and without regard to any other definitions for those terms in state law or regulations,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and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have the meaning provided for those terms by the United States Environmental Protection Agency.  The county assessor shall value the designated </w:t>
      </w:r>
      <w:r w:rsidR="00F661A7">
        <w:rPr>
          <w:color w:val="000000" w:themeColor="text1"/>
          <w:u w:color="000000" w:themeColor="text1"/>
        </w:rPr>
        <w:t>‘</w:t>
      </w:r>
      <w:r w:rsidR="00BA6CB8" w:rsidRPr="008C7C2D">
        <w:rPr>
          <w:color w:val="000000" w:themeColor="text1"/>
          <w:u w:color="000000" w:themeColor="text1"/>
        </w:rPr>
        <w:t>green space</w:t>
      </w:r>
      <w:r w:rsidR="00F661A7">
        <w:rPr>
          <w:color w:val="000000" w:themeColor="text1"/>
          <w:u w:color="000000" w:themeColor="text1"/>
        </w:rPr>
        <w:t>’</w:t>
      </w:r>
      <w:r w:rsidR="00BA6CB8" w:rsidRPr="008C7C2D">
        <w:rPr>
          <w:color w:val="000000" w:themeColor="text1"/>
          <w:u w:color="000000" w:themeColor="text1"/>
        </w:rPr>
        <w:t xml:space="preserve"> or </w:t>
      </w:r>
      <w:r w:rsidR="00F661A7">
        <w:rPr>
          <w:color w:val="000000" w:themeColor="text1"/>
          <w:u w:color="000000" w:themeColor="text1"/>
        </w:rPr>
        <w:t>‘</w:t>
      </w:r>
      <w:r w:rsidR="00BA6CB8" w:rsidRPr="008C7C2D">
        <w:rPr>
          <w:color w:val="000000" w:themeColor="text1"/>
          <w:u w:color="000000" w:themeColor="text1"/>
        </w:rPr>
        <w:t>open space</w:t>
      </w:r>
      <w:r w:rsidR="00F661A7">
        <w:rPr>
          <w:color w:val="000000" w:themeColor="text1"/>
          <w:u w:color="000000" w:themeColor="text1"/>
        </w:rPr>
        <w:t>’</w:t>
      </w:r>
      <w:r w:rsidR="00BA6CB8" w:rsidRPr="008C7C2D">
        <w:rPr>
          <w:color w:val="000000" w:themeColor="text1"/>
          <w:u w:color="000000" w:themeColor="text1"/>
        </w:rPr>
        <w:t xml:space="preserve"> in the manner that other property dedicated to that use is valued and that value must be used in the calculation of roll</w:t>
      </w:r>
      <w:r w:rsidR="00C35E94">
        <w:rPr>
          <w:color w:val="000000" w:themeColor="text1"/>
          <w:u w:color="000000" w:themeColor="text1"/>
        </w:rPr>
        <w:noBreakHyphen/>
      </w:r>
      <w:r w:rsidR="00BA6CB8" w:rsidRPr="008C7C2D">
        <w:rPr>
          <w:color w:val="000000" w:themeColor="text1"/>
          <w:u w:color="000000" w:themeColor="text1"/>
        </w:rPr>
        <w:t>back tax on the parcel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 xml:space="preserve">220(d)(4).  Appeals from the valuation of the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may be taken in the manner provided by law for appeals of value of real property appraised by county assessors.”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 xml:space="preserve">back taxes chargeable on real property which has undergone a </w:t>
      </w:r>
      <w:r w:rsidRPr="008C7C2D">
        <w:rPr>
          <w:color w:val="000000" w:themeColor="text1"/>
          <w:u w:color="000000" w:themeColor="text1"/>
        </w:rPr>
        <w:lastRenderedPageBreak/>
        <w:t>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3.</w:t>
      </w:r>
      <w:r w:rsidRPr="008C7C2D">
        <w:rPr>
          <w:color w:val="000000" w:themeColor="text1"/>
          <w:u w:color="000000" w:themeColor="text1"/>
        </w:rPr>
        <w:tab/>
        <w:t>The provisions of SECTIONS 1 and 2 of this act apply for eligible real property changed from agric</w:t>
      </w:r>
      <w:r>
        <w:rPr>
          <w:color w:val="000000" w:themeColor="text1"/>
          <w:u w:color="000000" w:themeColor="text1"/>
        </w:rPr>
        <w:t>ultural use valuation after 2014</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half of one percent a month, but in no case less than thirty dollars nor more than 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5.</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 xml:space="preserve">220(c)(2)(vii) of the 1976 Code, as amended by this act, applies prospectively and also retroactively to </w:t>
      </w:r>
      <w:r w:rsidRPr="008C7C2D">
        <w:rPr>
          <w:color w:val="000000" w:themeColor="text1"/>
          <w:u w:color="000000" w:themeColor="text1"/>
        </w:rPr>
        <w:lastRenderedPageBreak/>
        <w:t>all property tax years open for the assessment of delinquent property taxes and penalties, including penalties assessed pursuant to 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6.</w:t>
      </w:r>
      <w:r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EB0" w:rsidRDefault="00634EB0" w:rsidP="00634EB0">
      <w:pPr>
        <w:suppressAutoHyphens/>
      </w:pPr>
    </w:p>
    <w:sectPr w:rsidR="00634EB0"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40606C-C66D-441A-BAF1-243D8F65272D}"/>
    <w:embedBold r:id="rId2" w:fontKey="{6B4AC5AE-4DEF-40F5-95D2-49C204468601}"/>
  </w:font>
  <w:font w:name="Calibri">
    <w:panose1 w:val="020F0502020204030204"/>
    <w:charset w:val="00"/>
    <w:family w:val="swiss"/>
    <w:pitch w:val="variable"/>
    <w:sig w:usb0="E10002FF" w:usb1="4000ACFF" w:usb2="00000009" w:usb3="00000000" w:csb0="0000019F" w:csb1="00000000"/>
    <w:embedRegular r:id="rId3" w:fontKey="{B8416B58-A5B9-41D7-BD8A-03C24C0B7513}"/>
  </w:font>
  <w:font w:name="Segoe UI">
    <w:panose1 w:val="020B0502040204020203"/>
    <w:charset w:val="00"/>
    <w:family w:val="swiss"/>
    <w:pitch w:val="variable"/>
    <w:sig w:usb0="E10022FF" w:usb1="C000E47F" w:usb2="00000029" w:usb3="00000000" w:csb0="000001DF" w:csb1="00000000"/>
    <w:embedRegular r:id="rId4" w:fontKey="{8CBE5407-B724-4A56-AF40-70995B2BF596}"/>
  </w:font>
  <w:font w:name="Cambria">
    <w:panose1 w:val="02040503050406030204"/>
    <w:charset w:val="00"/>
    <w:family w:val="roman"/>
    <w:pitch w:val="variable"/>
    <w:sig w:usb0="E00002FF" w:usb1="400004FF" w:usb2="00000000" w:usb3="00000000" w:csb0="0000019F" w:csb1="00000000"/>
    <w:embedRegular r:id="rId5" w:fontKey="{B908991C-653E-4E50-A8E2-BFA6295D3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634EB0">
      <w:rPr>
        <w:noProof/>
      </w:rPr>
      <w:t>2</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634E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E7D54"/>
    <w:rsid w:val="00526391"/>
    <w:rsid w:val="005273C6"/>
    <w:rsid w:val="00530A69"/>
    <w:rsid w:val="00545593"/>
    <w:rsid w:val="00577C6C"/>
    <w:rsid w:val="005C2FE2"/>
    <w:rsid w:val="005E2BC9"/>
    <w:rsid w:val="00605102"/>
    <w:rsid w:val="006215AA"/>
    <w:rsid w:val="00634EB0"/>
    <w:rsid w:val="006913C9"/>
    <w:rsid w:val="0069470D"/>
    <w:rsid w:val="00707762"/>
    <w:rsid w:val="00734F00"/>
    <w:rsid w:val="007A70AE"/>
    <w:rsid w:val="008362E8"/>
    <w:rsid w:val="008377EC"/>
    <w:rsid w:val="008A1768"/>
    <w:rsid w:val="008F0F33"/>
    <w:rsid w:val="008F4429"/>
    <w:rsid w:val="0094021A"/>
    <w:rsid w:val="009970BB"/>
    <w:rsid w:val="009B44AF"/>
    <w:rsid w:val="009C6A0B"/>
    <w:rsid w:val="009F0C77"/>
    <w:rsid w:val="009F4DD1"/>
    <w:rsid w:val="00A069C5"/>
    <w:rsid w:val="00A309CE"/>
    <w:rsid w:val="00A3438E"/>
    <w:rsid w:val="00A41684"/>
    <w:rsid w:val="00A64E80"/>
    <w:rsid w:val="00A72BCD"/>
    <w:rsid w:val="00A741D9"/>
    <w:rsid w:val="00A833AB"/>
    <w:rsid w:val="00A9741D"/>
    <w:rsid w:val="00AD4B17"/>
    <w:rsid w:val="00B412D4"/>
    <w:rsid w:val="00BA4D9B"/>
    <w:rsid w:val="00BA6CB8"/>
    <w:rsid w:val="00BE3C22"/>
    <w:rsid w:val="00BF0D09"/>
    <w:rsid w:val="00C0345E"/>
    <w:rsid w:val="00C3483A"/>
    <w:rsid w:val="00C35E94"/>
    <w:rsid w:val="00C74E9D"/>
    <w:rsid w:val="00C82FD3"/>
    <w:rsid w:val="00C92819"/>
    <w:rsid w:val="00CC6B7B"/>
    <w:rsid w:val="00CD2089"/>
    <w:rsid w:val="00D127B8"/>
    <w:rsid w:val="00D73A67"/>
    <w:rsid w:val="00D970A9"/>
    <w:rsid w:val="00DF3845"/>
    <w:rsid w:val="00E26309"/>
    <w:rsid w:val="00E41911"/>
    <w:rsid w:val="00E92EEF"/>
    <w:rsid w:val="00F24442"/>
    <w:rsid w:val="00F50AE3"/>
    <w:rsid w:val="00F661A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426F4-516E-41F3-BA55-0FD69451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94CC85F7.dotm</Template>
  <TotalTime>0</TotalTime>
  <Pages>6</Pages>
  <Words>1699</Words>
  <Characters>8739</Characters>
  <Application>Microsoft Office Word</Application>
  <DocSecurity>0</DocSecurity>
  <Lines>226</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(Apr. 28, 2015) - South Carolina Legislature Online</dc:title>
  <dc:creator>%USERNAME%</dc:creator>
  <cp:lastModifiedBy>Angela Hopkins</cp:lastModifiedBy>
  <cp:revision>2</cp:revision>
  <cp:lastPrinted>2015-01-13T21:01:00Z</cp:lastPrinted>
  <dcterms:created xsi:type="dcterms:W3CDTF">2015-04-28T18:17:00Z</dcterms:created>
  <dcterms:modified xsi:type="dcterms:W3CDTF">2015-04-28T18:17:00Z</dcterms:modified>
</cp:coreProperties>
</file>