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EA"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30F" w:rsidRP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C9730F" w:rsidRDefault="00C9730F" w:rsidP="00C9730F">
      <w:pPr>
        <w:tabs>
          <w:tab w:val="right" w:pos="5933"/>
        </w:tabs>
        <w:suppressAutoHyphens/>
      </w:pPr>
      <w:r>
        <w:tab/>
      </w:r>
      <w:r>
        <w:rPr>
          <w:b/>
          <w:sz w:val="36"/>
        </w:rPr>
        <w:t>H. 3534</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505404">
      <w:pPr>
        <w:tabs>
          <w:tab w:val="right" w:pos="5933"/>
        </w:tabs>
        <w:suppressAutoHyphens/>
      </w:pPr>
      <w:r>
        <w:t>S. Printed 2/25/16--S.</w:t>
      </w:r>
      <w:r w:rsidR="00505404">
        <w:tab/>
        <w:t>[SEC 2/29/16 3:37 PM]</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3534) </w:t>
      </w:r>
      <w:r w:rsidRPr="00C9730F">
        <w:rPr>
          <w:color w:val="000000" w:themeColor="text1"/>
          <w:u w:color="000000" w:themeColor="text1"/>
        </w:rPr>
        <w:t>to amend Section 2</w:t>
      </w:r>
      <w:r w:rsidRPr="00C9730F">
        <w:rPr>
          <w:color w:val="000000" w:themeColor="text1"/>
          <w:u w:color="000000" w:themeColor="text1"/>
        </w:rPr>
        <w:noBreakHyphen/>
        <w:t>77</w:t>
      </w:r>
      <w:r w:rsidRPr="00C9730F">
        <w:rPr>
          <w:color w:val="000000" w:themeColor="text1"/>
          <w:u w:color="000000" w:themeColor="text1"/>
        </w:rPr>
        <w:noBreakHyphen/>
        <w:t>15, as amended, Code of Laws of South Carolina, 1976, relating to the definition of “eligible institution” as it pertains</w:t>
      </w:r>
      <w:r>
        <w:t xml:space="preserve"> to, etc., respectfully</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Amend the bill, as and if amended, Section 2</w:t>
      </w:r>
      <w:r w:rsidRPr="001D24ED">
        <w:rPr>
          <w:snapToGrid w:val="0"/>
        </w:rPr>
        <w:noBreakHyphen/>
        <w:t>77</w:t>
      </w:r>
      <w:r w:rsidRPr="001D24ED">
        <w:rPr>
          <w:snapToGrid w:val="0"/>
        </w:rPr>
        <w:noBreakHyphen/>
        <w:t>15(1)(a)(ii), as contained in SECTION 1, page 1, lines 40</w:t>
      </w:r>
      <w:r w:rsidRPr="001D24ED">
        <w:rPr>
          <w:snapToGrid w:val="0"/>
        </w:rPr>
        <w:noBreakHyphen/>
        <w:t>42, by deleting the subitem in its entirety and inserting:</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D24ED">
        <w:rPr>
          <w:snapToGrid w:val="0"/>
        </w:rPr>
        <w:t>/</w:t>
      </w:r>
      <w:r w:rsidRPr="001D24ED">
        <w:rPr>
          <w:snapToGrid w:val="0"/>
        </w:rPr>
        <w:tab/>
      </w:r>
      <w:r w:rsidRPr="001D24ED">
        <w:rPr>
          <w:snapToGrid w:val="0"/>
          <w:u w:val="single"/>
        </w:rPr>
        <w:t>(ii)</w:t>
      </w:r>
      <w:r w:rsidRPr="001D24ED">
        <w:rPr>
          <w:snapToGrid w:val="0"/>
        </w:rPr>
        <w:tab/>
      </w:r>
      <w:r w:rsidRPr="001D24ED">
        <w:rPr>
          <w:snapToGrid w:val="0"/>
          <w:u w:val="single"/>
        </w:rPr>
        <w:t>which is an historically single gender women’s institution of traditional students, as evidenced by ninety percent or more of full</w:t>
      </w:r>
      <w:r w:rsidRPr="001D24ED">
        <w:rPr>
          <w:snapToGrid w:val="0"/>
          <w:u w:val="single"/>
        </w:rPr>
        <w:noBreakHyphen/>
        <w:t>time female undergraduates under twenty</w:t>
      </w:r>
      <w:r w:rsidRPr="001D24ED">
        <w:rPr>
          <w:snapToGrid w:val="0"/>
          <w:u w:val="single"/>
        </w:rPr>
        <w:noBreakHyphen/>
        <w:t xml:space="preserve">five years of age for the four consecutive years immediately preceding the current year </w:t>
      </w:r>
      <w:bookmarkStart w:id="0" w:name="temp"/>
      <w:bookmarkEnd w:id="0"/>
      <w:r w:rsidRPr="001D24ED">
        <w:rPr>
          <w:snapToGrid w:val="0"/>
          <w:u w:val="single"/>
        </w:rPr>
        <w:t>;</w:t>
      </w:r>
      <w:r w:rsidRPr="001D24ED">
        <w:rPr>
          <w:snapToGrid w:val="0"/>
        </w:rPr>
        <w:t xml:space="preserve"> /</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Renumber sections to conform.</w:t>
      </w: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Amend title to conform.</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30F"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2"/>
    </w:p>
    <w:p w:rsidR="000352EA"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at which, for the four consecutive years immediately preceding the then current year, ninety percent or more of the entitled students are in campus</w:t>
      </w:r>
      <w:r w:rsidRPr="00682F87">
        <w:rPr>
          <w:u w:val="single" w:color="000000" w:themeColor="text1"/>
        </w:rPr>
        <w:noBreakHyphen/>
        <w:t>based programs and are female;</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lastRenderedPageBreak/>
        <w:tab/>
      </w:r>
      <w:r w:rsidRPr="00682F87">
        <w:rPr>
          <w:u w:color="000000" w:themeColor="text1"/>
        </w:rPr>
        <w:tab/>
        <w:t>(</w:t>
      </w:r>
      <w:r w:rsidRPr="00682F87">
        <w:rPr>
          <w:strike/>
          <w:u w:color="000000" w:themeColor="text1"/>
        </w:rPr>
        <w:t>c</w:t>
      </w:r>
      <w:r w:rsidRPr="00682F87">
        <w:rPr>
          <w:u w:val="single" w:color="000000" w:themeColor="text1"/>
        </w:rPr>
        <w:t>b</w:t>
      </w:r>
      <w:r w:rsidRPr="00682F87">
        <w:rPr>
          <w:u w:color="000000" w:themeColor="text1"/>
        </w:rPr>
        <w:t>)</w:t>
      </w:r>
      <w:r w:rsidRPr="00682F87">
        <w:rPr>
          <w:u w:val="single" w:color="000000" w:themeColor="text1"/>
        </w:rPr>
        <w:t>(i)</w:t>
      </w:r>
      <w:r w:rsidRPr="00682F87">
        <w:rPr>
          <w:u w:color="000000" w:themeColor="text1"/>
        </w:rPr>
        <w:tab/>
        <w:t>that is accredited by the Southern Association of Colleges and Schools</w:t>
      </w:r>
      <w:r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00C9730F">
        <w:rPr>
          <w:u w:color="000000" w:themeColor="text1"/>
        </w:rPr>
        <w:tab/>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w:t>
      </w:r>
      <w:r w:rsidR="00505404">
        <w:rPr>
          <w:u w:color="000000" w:themeColor="text1"/>
        </w:rPr>
        <w:t>6</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C08" w:rsidRDefault="00262C08" w:rsidP="00262C08">
      <w:pPr>
        <w:suppressAutoHyphens/>
      </w:pPr>
    </w:p>
    <w:sectPr w:rsidR="00262C08"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A2FF28-741E-45CF-9063-7C1B585B692D}"/>
    <w:embedBold r:id="rId2" w:fontKey="{21FC08B0-4C52-4914-B8B3-0222EAB2DFA0}"/>
  </w:font>
  <w:font w:name="Calibri">
    <w:panose1 w:val="020F0502020204030204"/>
    <w:charset w:val="00"/>
    <w:family w:val="swiss"/>
    <w:pitch w:val="variable"/>
    <w:sig w:usb0="E00002FF" w:usb1="4000ACFF" w:usb2="00000001" w:usb3="00000000" w:csb0="0000019F" w:csb1="00000000"/>
    <w:embedRegular r:id="rId3" w:fontKey="{96D03F37-6421-4D05-83D5-E6BAAD884046}"/>
  </w:font>
  <w:font w:name="Cambria">
    <w:panose1 w:val="02040503050406030204"/>
    <w:charset w:val="00"/>
    <w:family w:val="roman"/>
    <w:pitch w:val="variable"/>
    <w:sig w:usb0="E00002FF" w:usb1="400004FF" w:usb2="00000000" w:usb3="00000000" w:csb0="0000019F" w:csb1="00000000"/>
    <w:embedRegular r:id="rId4" w:fontKey="{7318EB61-D092-4D3B-A88A-A27E0065D1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505404">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262C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C3584"/>
    <w:rsid w:val="000E1785"/>
    <w:rsid w:val="000F40FA"/>
    <w:rsid w:val="0010776B"/>
    <w:rsid w:val="00133E66"/>
    <w:rsid w:val="001435A3"/>
    <w:rsid w:val="00146ED3"/>
    <w:rsid w:val="00151044"/>
    <w:rsid w:val="001B12DC"/>
    <w:rsid w:val="001D08F2"/>
    <w:rsid w:val="001D525B"/>
    <w:rsid w:val="001D7F4F"/>
    <w:rsid w:val="00205238"/>
    <w:rsid w:val="002321B6"/>
    <w:rsid w:val="00250967"/>
    <w:rsid w:val="002543C8"/>
    <w:rsid w:val="0025541D"/>
    <w:rsid w:val="00262C08"/>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0540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9730F"/>
    <w:rsid w:val="00CC6B7B"/>
    <w:rsid w:val="00CC6F99"/>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95733-7FB6-40A6-96FD-8F94E72F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C3E4927A.dotm</Template>
  <TotalTime>0</TotalTime>
  <Pages>3</Pages>
  <Words>645</Words>
  <Characters>3430</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(Feb. 29, 2016) - South Carolina Legislature Online</dc:title>
  <dc:creator>angiemorgan</dc:creator>
  <cp:lastModifiedBy>Brent Walling</cp:lastModifiedBy>
  <cp:revision>2</cp:revision>
  <dcterms:created xsi:type="dcterms:W3CDTF">2016-02-29T20:37:00Z</dcterms:created>
  <dcterms:modified xsi:type="dcterms:W3CDTF">2016-02-29T20:37:00Z</dcterms:modified>
</cp:coreProperties>
</file>