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F49" w:rsidRP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9"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Pr="00486198" w:rsidRDefault="00486198" w:rsidP="00486198">
      <w:pPr>
        <w:tabs>
          <w:tab w:val="right" w:pos="5933"/>
        </w:tabs>
        <w:suppressAutoHyphens/>
      </w:pPr>
      <w:r>
        <w:tab/>
      </w:r>
      <w:r>
        <w:rPr>
          <w:b/>
          <w:sz w:val="36"/>
        </w:rPr>
        <w:t>H. 4762</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Anthony, Yow and W.J. McLeod</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Default="00486198" w:rsidP="00114609">
      <w:pPr>
        <w:tabs>
          <w:tab w:val="right" w:pos="5933"/>
        </w:tabs>
        <w:suppressAutoHyphens/>
      </w:pPr>
      <w:r>
        <w:t>S. Printed 5/18/16--S.</w:t>
      </w:r>
      <w:r w:rsidR="00114609">
        <w:tab/>
        <w:t>[SEC 5/19/16 1:37 PM]</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2F0" w:rsidRDefault="006D42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9" w:rsidRPr="00570F49" w:rsidRDefault="00570F49" w:rsidP="0057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551843">
        <w:rPr>
          <w:b/>
        </w:rPr>
        <w:t>FINANCE</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4762) to amend Section 6-1-320, as amended, Code of Laws of South Carolina, 1976, relating to the limitation on millage rate increases and exceptions to this, etc., respectfully</w:t>
      </w:r>
    </w:p>
    <w:p w:rsidR="00570F49" w:rsidRPr="00570F49" w:rsidRDefault="00570F49" w:rsidP="0057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9" w:rsidRDefault="00551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w:t>
      </w:r>
      <w:r w:rsidR="00570F49">
        <w:t xml:space="preserve"> for Committee.</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486198">
        <w:rPr>
          <w:b/>
        </w:rPr>
        <w:t>Fiscal Impact Summary</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198">
        <w:rPr>
          <w:rFonts w:eastAsiaTheme="minorHAnsi" w:cstheme="minorBidi"/>
          <w:szCs w:val="22"/>
        </w:rPr>
        <w:tab/>
        <w:t>This bill would change qualifications for the millage rate increase limitation exemption in Section 6-1-320(B)(7).  Based upon our analysis, the following counties would now qualify for the exemption: Abbeville, Chesterfield, Edgefield, Fairfield, Greenwood, Laurens, McCormick, Newberry, Oconee, and Union.  The impact on local revenue will depend up on which local governing bodies, if any, in the newly qualifying counties elect to exceed their millage rate increase limitation as a result of this exemption and as such is undetermined.</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86198">
        <w:rPr>
          <w:b/>
        </w:rPr>
        <w:t>Explanation of Fiscal Impact</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86198">
        <w:rPr>
          <w:b/>
          <w:bCs/>
        </w:rPr>
        <w:t>Local Revenue</w:t>
      </w:r>
    </w:p>
    <w:p w:rsidR="00486198" w:rsidRPr="00486198" w:rsidRDefault="00486198" w:rsidP="0048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198">
        <w:rPr>
          <w:rFonts w:eastAsiaTheme="minorHAnsi" w:cstheme="minorBidi"/>
          <w:szCs w:val="22"/>
        </w:rPr>
        <w:tab/>
        <w:t xml:space="preserve">This bill amends the millage rate increase limitation exemption in Section 6-1-320(B)(7) by changing the qualifications for the exemption. Currently, a local governing body in a county with a </w:t>
      </w:r>
      <w:r w:rsidRPr="00486198">
        <w:rPr>
          <w:rFonts w:eastAsiaTheme="minorHAnsi" w:cstheme="minorBidi"/>
          <w:szCs w:val="22"/>
        </w:rPr>
        <w:lastRenderedPageBreak/>
        <w:t>population of less than one hundred thousand and at least forty thousand acres of state forest land may exceed the millage rate increase limitation to purchase capital equipment and make expenditures related to capital equipment with a two-thirds vote of the membership of the local governing body. This bill would amend this section by changing the state forest land requirement to state or national forest land.  Since forest land is not clearly defined, we have based our analysis on areas named as forests and excluded state parks and managed wetlands.  Based upon GIS data obtained from the Department of Natural Resources, we do not find any counties with a population of less than one hundred thousand that have at least forty thousand acres of state forest land. Changing this requirement to forty thousand acres of state or national forest land, we anticipate that the following counties with a population of less than one hundred thousand will qualify for this exemption: Abbeville, Chesterfield, Edgefield, Fairfield, Greenwood, Laurens, McCormick, Newberry, Oconee, and Union. The impact on local revenue will depend up on which local governing bodies, if any, in the newly qualifying counties elect to exceed their millage limitation as a result of this exemption and as such is undetermined.</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6198" w:rsidRDefault="00486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70F49" w:rsidRPr="00570F49" w:rsidRDefault="00570F49" w:rsidP="0057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F49" w:rsidRDefault="00570F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F49" w:rsidSect="00570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74E2" w:rsidRDefault="004C74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22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91C7A">
        <w:noBreakHyphen/>
      </w:r>
      <w:r>
        <w:t>1</w:t>
      </w:r>
      <w:r w:rsidR="00C91C7A">
        <w:noBreakHyphen/>
      </w:r>
      <w:r>
        <w:t xml:space="preserve">320, </w:t>
      </w:r>
      <w:r w:rsidR="00C91C7A">
        <w:t xml:space="preserve">AS AMENDED, </w:t>
      </w:r>
      <w:r>
        <w:t>CODE OF LAWS OF SOUTH CAROLINA, 1976, RELATING TO THE LIMITATION ON MILLAGE RATE INCREASES AND EXCEPTIONS TO THIS LIMITATION</w:t>
      </w:r>
      <w:r w:rsidR="00C91C7A">
        <w:t>,</w:t>
      </w:r>
      <w:r>
        <w:t xml:space="preserve"> SO AS TO </w:t>
      </w:r>
      <w:r w:rsidR="00C91C7A">
        <w:t>REVISE THE EXCEPTION TO THIS LIMITATION FOR</w:t>
      </w:r>
      <w:r>
        <w:t xml:space="preserve"> THE PURCHASE OF CAPITAL EQUIPMENT AND</w:t>
      </w:r>
      <w:r w:rsidR="00C91C7A">
        <w:t xml:space="preserve"> OTHER</w:t>
      </w:r>
      <w:r>
        <w:t xml:space="preserve"> EXPENDITURES IN A COUNTY HAVING A POPULATION OF LESS THAN ONE HUNDRED THOUSAND PERSONS AND HAVING AT LEAST FORTY THOUSAND ACRES OF STATE FOREST LAND </w:t>
      </w:r>
      <w:r w:rsidR="00C91C7A">
        <w:t xml:space="preserve">BY CHANGING </w:t>
      </w:r>
      <w:r>
        <w:t>THE TERM “STATE FOREST LAND” IN THIS EXCEPTION TO THE TERM “STATE OR NATIONAL FOREST LAND”.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51C9">
        <w:t>Section 6</w:t>
      </w:r>
      <w:r w:rsidR="00C91C7A">
        <w:noBreakHyphen/>
      </w:r>
      <w:r w:rsidR="008951C9">
        <w:t>1</w:t>
      </w:r>
      <w:r w:rsidR="00C91C7A">
        <w:noBreakHyphen/>
      </w:r>
      <w:r w:rsidR="008951C9">
        <w:t>320(B)(7) of the 1976 Code</w:t>
      </w:r>
      <w:r w:rsidR="00B21625">
        <w:t>, as last amended by Act 410 of 2008</w:t>
      </w:r>
      <w:r w:rsidR="00F51E06">
        <w:t>,</w:t>
      </w:r>
      <w:r w:rsidR="008951C9">
        <w:t xml:space="preserve"> is </w:t>
      </w:r>
      <w:r w:rsidR="00F51E06">
        <w:t xml:space="preserve">further </w:t>
      </w:r>
      <w:r w:rsidR="008951C9">
        <w:t>amended to read:</w:t>
      </w: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1C9" w:rsidRPr="008951C9" w:rsidRDefault="008951C9" w:rsidP="0089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Theme="minorHAnsi"/>
          <w:szCs w:val="22"/>
        </w:rPr>
        <w:t>(7)</w:t>
      </w:r>
      <w:r>
        <w:rPr>
          <w:rFonts w:eastAsiaTheme="minorHAnsi"/>
          <w:szCs w:val="22"/>
        </w:rPr>
        <w:tab/>
      </w:r>
      <w:r w:rsidRPr="008951C9">
        <w:rPr>
          <w:rFonts w:eastAsiaTheme="minorHAnsi"/>
          <w:szCs w:val="22"/>
        </w:rPr>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Pr>
          <w:rFonts w:eastAsiaTheme="minorHAnsi"/>
          <w:szCs w:val="22"/>
          <w:u w:val="single"/>
        </w:rPr>
        <w:t>or national</w:t>
      </w:r>
      <w:r>
        <w:rPr>
          <w:rFonts w:eastAsiaTheme="minorHAnsi"/>
          <w:szCs w:val="22"/>
        </w:rPr>
        <w:t xml:space="preserve"> </w:t>
      </w:r>
      <w:r w:rsidRPr="008951C9">
        <w:rPr>
          <w:rFonts w:eastAsiaTheme="minorHAnsi"/>
          <w:szCs w:val="22"/>
        </w:rPr>
        <w:t xml:space="preserve">forest land. For purposes of this section, </w:t>
      </w:r>
      <w:r w:rsidR="00184546">
        <w:rPr>
          <w:rFonts w:eastAsiaTheme="minorHAnsi"/>
          <w:szCs w:val="22"/>
        </w:rPr>
        <w:t>‘capital equipment’</w:t>
      </w:r>
      <w:r w:rsidRPr="008951C9">
        <w:rPr>
          <w:rFonts w:eastAsiaTheme="minorHAnsi"/>
          <w:szCs w:val="22"/>
        </w:rPr>
        <w:t xml:space="preserve"> means an article of nonexpendable, tangible, personal property, to include communication software when purchased with a computer, having a useful life of more than one year and an acquisition cost of fifty thousand dollars or more for each unit.</w:t>
      </w:r>
      <w:r w:rsidR="00B2216F">
        <w:rPr>
          <w:rFonts w:eastAsiaTheme="minorHAnsi"/>
          <w:szCs w:val="22"/>
        </w:rPr>
        <w:t>”</w:t>
      </w:r>
    </w:p>
    <w:p w:rsidR="008951C9" w:rsidRDefault="00895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FF" w:rsidRDefault="00F72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E25">
        <w:t>2</w:t>
      </w:r>
      <w:r>
        <w:t>.</w:t>
      </w:r>
      <w:r>
        <w:tab/>
        <w:t>This act takes effect upon approval by the Governor.</w:t>
      </w:r>
    </w:p>
    <w:p w:rsidR="005237BD" w:rsidRDefault="00C91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E6F88" w:rsidRDefault="00BE6F88" w:rsidP="00BE6F88">
      <w:pPr>
        <w:suppressAutoHyphens/>
      </w:pPr>
    </w:p>
    <w:sectPr w:rsidR="00BE6F88" w:rsidSect="00570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C7A" w:rsidRDefault="00C91C7A" w:rsidP="009F0C77">
      <w:r>
        <w:separator/>
      </w:r>
    </w:p>
  </w:endnote>
  <w:endnote w:type="continuationSeparator" w:id="0">
    <w:p w:rsidR="00C91C7A" w:rsidRDefault="00C91C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3F0F54-C880-4E63-8C70-093865B54EFC}"/>
    <w:embedBold r:id="rId2" w:fontKey="{E6992643-9996-4A09-8DEE-201C12984E44}"/>
  </w:font>
  <w:font w:name="Calibri">
    <w:panose1 w:val="020F0502020204030204"/>
    <w:charset w:val="00"/>
    <w:family w:val="swiss"/>
    <w:pitch w:val="variable"/>
    <w:sig w:usb0="E00002FF" w:usb1="4000ACFF" w:usb2="00000001" w:usb3="00000000" w:csb0="0000019F" w:csb1="00000000"/>
    <w:embedRegular r:id="rId3" w:fontKey="{64A5E7BB-EBE6-4AE1-A0C2-26AE3CA54BBC}"/>
  </w:font>
  <w:font w:name="Segoe UI">
    <w:panose1 w:val="020B0502040204020203"/>
    <w:charset w:val="00"/>
    <w:family w:val="swiss"/>
    <w:pitch w:val="variable"/>
    <w:sig w:usb0="E10022FF" w:usb1="C000E47F" w:usb2="00000029" w:usb3="00000000" w:csb0="000001DF" w:csb1="00000000"/>
    <w:embedRegular r:id="rId4" w:fontKey="{EF9470FC-EEB7-4444-B22E-C87509149983}"/>
  </w:font>
  <w:font w:name="Cambria">
    <w:panose1 w:val="02040503050406030204"/>
    <w:charset w:val="00"/>
    <w:family w:val="roman"/>
    <w:pitch w:val="variable"/>
    <w:sig w:usb0="E00002FF" w:usb1="400004FF" w:usb2="00000000" w:usb3="00000000" w:csb0="0000019F" w:csb1="00000000"/>
    <w:embedRegular r:id="rId5" w:fontKey="{D4D70392-0839-4CD7-96F6-821F4522A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7BD" w:rsidRPr="004C74E2" w:rsidRDefault="004C74E2" w:rsidP="004C74E2">
    <w:pPr>
      <w:pStyle w:val="Footer"/>
      <w:tabs>
        <w:tab w:val="clear" w:pos="4680"/>
        <w:tab w:val="clear" w:pos="9360"/>
        <w:tab w:val="center" w:pos="2995"/>
      </w:tabs>
      <w:spacing w:before="120"/>
    </w:pPr>
    <w:r>
      <w:t>[4762</w:t>
    </w:r>
    <w:r w:rsidR="00570F49">
      <w:t>-</w:t>
    </w:r>
    <w:r w:rsidR="00570F49">
      <w:fldChar w:fldCharType="begin"/>
    </w:r>
    <w:r w:rsidR="00570F49">
      <w:instrText xml:space="preserve"> PAGE  \* MERGEFORMAT </w:instrText>
    </w:r>
    <w:r w:rsidR="00570F49">
      <w:fldChar w:fldCharType="separate"/>
    </w:r>
    <w:r w:rsidR="00BE6F88">
      <w:rPr>
        <w:noProof/>
      </w:rPr>
      <w:t>2</w:t>
    </w:r>
    <w:r w:rsidR="00570F49">
      <w:fldChar w:fldCharType="end"/>
    </w:r>
    <w:r w:rsidR="00570F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F49" w:rsidRPr="004C74E2" w:rsidRDefault="00570F49" w:rsidP="004C74E2">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sidR="00BE6F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C7A" w:rsidRDefault="00C91C7A" w:rsidP="009F0C77">
      <w:r>
        <w:separator/>
      </w:r>
    </w:p>
  </w:footnote>
  <w:footnote w:type="continuationSeparator" w:id="0">
    <w:p w:rsidR="00C91C7A" w:rsidRDefault="00C91C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8SD16"/>
    <w:docVar w:name="CoverBillType" w:val="b"/>
    <w:docVar w:name="docpath" w:val="L:\Council\bills\NL\13578SD16.DOCX"/>
    <w:docVar w:name="dvBillNumber" w:val="4762"/>
    <w:docVar w:name="dvBillNumberPrefix" w:val="H. "/>
    <w:docVar w:name="dvOriginalBody" w:val="House"/>
    <w:docVar w:name="dvSteno" w:val="NL"/>
    <w:docVar w:name="NameofBody" w:val="h"/>
    <w:docVar w:name="vgroup2" w:val="Council"/>
  </w:docVars>
  <w:rsids>
    <w:rsidRoot w:val="00F722FF"/>
    <w:rsid w:val="00011869"/>
    <w:rsid w:val="00015CD6"/>
    <w:rsid w:val="000E1785"/>
    <w:rsid w:val="000F40FA"/>
    <w:rsid w:val="0010776B"/>
    <w:rsid w:val="00114609"/>
    <w:rsid w:val="00133E66"/>
    <w:rsid w:val="001435A3"/>
    <w:rsid w:val="00146ED3"/>
    <w:rsid w:val="00151044"/>
    <w:rsid w:val="0018454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198"/>
    <w:rsid w:val="004C74E2"/>
    <w:rsid w:val="004E7D54"/>
    <w:rsid w:val="005237BD"/>
    <w:rsid w:val="005273C6"/>
    <w:rsid w:val="00530A69"/>
    <w:rsid w:val="00545593"/>
    <w:rsid w:val="00551843"/>
    <w:rsid w:val="00570F49"/>
    <w:rsid w:val="00577C6C"/>
    <w:rsid w:val="005C2FE2"/>
    <w:rsid w:val="005E2BC9"/>
    <w:rsid w:val="00605102"/>
    <w:rsid w:val="006215AA"/>
    <w:rsid w:val="006913C9"/>
    <w:rsid w:val="0069470D"/>
    <w:rsid w:val="006D42F0"/>
    <w:rsid w:val="00734F00"/>
    <w:rsid w:val="007A70AE"/>
    <w:rsid w:val="008362E8"/>
    <w:rsid w:val="008951C9"/>
    <w:rsid w:val="008A1768"/>
    <w:rsid w:val="008E2AB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1625"/>
    <w:rsid w:val="00B2216F"/>
    <w:rsid w:val="00B412D4"/>
    <w:rsid w:val="00BA5BC3"/>
    <w:rsid w:val="00BE3C22"/>
    <w:rsid w:val="00BE6F88"/>
    <w:rsid w:val="00C0345E"/>
    <w:rsid w:val="00C3483A"/>
    <w:rsid w:val="00C74E9D"/>
    <w:rsid w:val="00C82FD3"/>
    <w:rsid w:val="00C91C7A"/>
    <w:rsid w:val="00C92819"/>
    <w:rsid w:val="00CB1A51"/>
    <w:rsid w:val="00CC6B7B"/>
    <w:rsid w:val="00CD2089"/>
    <w:rsid w:val="00D56E25"/>
    <w:rsid w:val="00D73A67"/>
    <w:rsid w:val="00D970A9"/>
    <w:rsid w:val="00DA3B2A"/>
    <w:rsid w:val="00DA51DB"/>
    <w:rsid w:val="00DF3845"/>
    <w:rsid w:val="00E41911"/>
    <w:rsid w:val="00E92EEF"/>
    <w:rsid w:val="00EF2368"/>
    <w:rsid w:val="00F24442"/>
    <w:rsid w:val="00F4597B"/>
    <w:rsid w:val="00F50AE3"/>
    <w:rsid w:val="00F51E06"/>
    <w:rsid w:val="00F656BA"/>
    <w:rsid w:val="00F67CF1"/>
    <w:rsid w:val="00F722F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5BFA1-FA5F-4D4D-8D62-24EC3CD3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C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C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05208-68D6-4FA3-AD67-2EF97611B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41F0FB7B.dotm</Template>
  <TotalTime>0</TotalTime>
  <Pages>4</Pages>
  <Words>675</Words>
  <Characters>3579</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4762 Text of Previous Version (May 19, 2016) - South Carolina Legislature Online</dc:title>
  <dc:creator>nancylee</dc:creator>
  <cp:lastModifiedBy>Angela Hill</cp:lastModifiedBy>
  <cp:revision>2</cp:revision>
  <cp:lastPrinted>2016-01-25T18:16:00Z</cp:lastPrinted>
  <dcterms:created xsi:type="dcterms:W3CDTF">2016-05-19T17:37:00Z</dcterms:created>
  <dcterms:modified xsi:type="dcterms:W3CDTF">2016-05-19T17:37:00Z</dcterms:modified>
</cp:coreProperties>
</file>