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3FF" w:rsidRDefault="005D53FF"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5A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1E9"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3D64">
        <w:rPr>
          <w:color w:val="000000" w:themeColor="text1"/>
          <w:u w:color="000000" w:themeColor="text1"/>
        </w:rPr>
        <w:t>TO AMEND SECTION 9</w:t>
      </w:r>
      <w:r w:rsidR="008C7241">
        <w:rPr>
          <w:color w:val="000000" w:themeColor="text1"/>
          <w:u w:color="000000" w:themeColor="text1"/>
        </w:rPr>
        <w:noBreakHyphen/>
      </w:r>
      <w:r w:rsidRPr="006D3D64">
        <w:rPr>
          <w:color w:val="000000" w:themeColor="text1"/>
          <w:u w:color="000000" w:themeColor="text1"/>
        </w:rPr>
        <w:t>16</w:t>
      </w:r>
      <w:r w:rsidR="008C7241">
        <w:rPr>
          <w:color w:val="000000" w:themeColor="text1"/>
          <w:u w:color="000000" w:themeColor="text1"/>
        </w:rPr>
        <w:noBreakHyphen/>
      </w:r>
      <w:r w:rsidRPr="006D3D64">
        <w:rPr>
          <w:color w:val="000000" w:themeColor="text1"/>
          <w:u w:color="000000" w:themeColor="text1"/>
        </w:rPr>
        <w:t>335, CODE OF LAWS OF SOUTH CAROLINA</w:t>
      </w:r>
      <w:r w:rsidR="004F7C47">
        <w:rPr>
          <w:color w:val="000000" w:themeColor="text1"/>
          <w:u w:color="000000" w:themeColor="text1"/>
        </w:rPr>
        <w:t>,</w:t>
      </w:r>
      <w:r w:rsidRPr="006D3D64">
        <w:rPr>
          <w:color w:val="000000" w:themeColor="text1"/>
          <w:u w:color="000000" w:themeColor="text1"/>
        </w:rPr>
        <w:t xml:space="preserve"> 1976, RELATING TO THE ASSUMED RATE OF RETURN FOR RETIREMENT SYSTEM FUNDS, SO AS TO PROVIDE THAT THE ASSUMED RATE OF RETURN EXPIRES EVERY FOUR YEARS UNLESS ACTION IS TAKEN BY THE GENERAL ASSEMBLY, AND IF NOT</w:t>
      </w:r>
      <w:r w:rsidR="004F7C47">
        <w:rPr>
          <w:color w:val="000000" w:themeColor="text1"/>
          <w:u w:color="000000" w:themeColor="text1"/>
        </w:rPr>
        <w:t>,</w:t>
      </w:r>
      <w:r w:rsidRPr="006D3D64">
        <w:rPr>
          <w:color w:val="000000" w:themeColor="text1"/>
          <w:u w:color="000000" w:themeColor="text1"/>
        </w:rPr>
        <w:t xml:space="preserve"> THE RATE IS SET BY THE STATE FISCAL ACCOUNTABILITY AUTHORITY; </w:t>
      </w:r>
      <w:r w:rsidR="008C7241">
        <w:rPr>
          <w:color w:val="000000" w:themeColor="text1"/>
          <w:u w:color="000000" w:themeColor="text1"/>
        </w:rPr>
        <w:t xml:space="preserve">AND TO </w:t>
      </w:r>
      <w:r w:rsidRPr="006D3D64">
        <w:rPr>
          <w:color w:val="000000" w:themeColor="text1"/>
          <w:u w:color="000000" w:themeColor="text1"/>
        </w:rPr>
        <w:t>AMEND SECTION 9</w:t>
      </w:r>
      <w:r w:rsidR="008C7241">
        <w:rPr>
          <w:color w:val="000000" w:themeColor="text1"/>
          <w:u w:color="000000" w:themeColor="text1"/>
        </w:rPr>
        <w:noBreakHyphen/>
      </w:r>
      <w:r w:rsidRPr="006D3D64">
        <w:rPr>
          <w:color w:val="000000" w:themeColor="text1"/>
          <w:u w:color="000000" w:themeColor="text1"/>
        </w:rPr>
        <w:t>1</w:t>
      </w:r>
      <w:r w:rsidR="008C7241">
        <w:rPr>
          <w:color w:val="000000" w:themeColor="text1"/>
          <w:u w:color="000000" w:themeColor="text1"/>
        </w:rPr>
        <w:noBreakHyphen/>
      </w:r>
      <w:r w:rsidRPr="006D3D64">
        <w:rPr>
          <w:color w:val="000000" w:themeColor="text1"/>
          <w:u w:color="000000" w:themeColor="text1"/>
        </w:rPr>
        <w:t>1085, RELATING TO EMPLOYER AND EMPLOYEE CONTRIBUTION RATES FOR PURPOSES OF THE RETIREMENT SYSTEM, SO AS TO REDUCE THE AMORTIZATION SCHEDULE FROM THIRTY YEARS TO TWENTY YEARS</w:t>
      </w:r>
      <w:r w:rsidR="00350A2A">
        <w:rPr>
          <w:color w:val="000000" w:themeColor="text1"/>
          <w:u w:color="000000" w:themeColor="text1"/>
        </w:rPr>
        <w:t>.</w:t>
      </w:r>
      <w:bookmarkStart w:id="4" w:name="titleend"/>
      <w:bookmarkEnd w:id="4"/>
    </w:p>
    <w:p w:rsidR="00350A2A" w:rsidRDefault="00350A2A"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0B" w:rsidRPr="00CE754A" w:rsidRDefault="00B05AAF"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550B" w:rsidRPr="00CE754A">
        <w:rPr>
          <w:color w:val="000000" w:themeColor="text1"/>
          <w:u w:color="000000" w:themeColor="text1"/>
        </w:rPr>
        <w:t>Section 9</w:t>
      </w:r>
      <w:r w:rsidR="008C7241">
        <w:rPr>
          <w:color w:val="000000" w:themeColor="text1"/>
          <w:u w:color="000000" w:themeColor="text1"/>
        </w:rPr>
        <w:noBreakHyphen/>
      </w:r>
      <w:r w:rsidR="0091550B" w:rsidRPr="00CE754A">
        <w:rPr>
          <w:color w:val="000000" w:themeColor="text1"/>
          <w:u w:color="000000" w:themeColor="text1"/>
        </w:rPr>
        <w:t>16</w:t>
      </w:r>
      <w:r w:rsidR="008C7241">
        <w:rPr>
          <w:color w:val="000000" w:themeColor="text1"/>
          <w:u w:color="000000" w:themeColor="text1"/>
        </w:rPr>
        <w:noBreakHyphen/>
      </w:r>
      <w:r w:rsidR="0091550B" w:rsidRPr="00CE754A">
        <w:rPr>
          <w:color w:val="000000" w:themeColor="text1"/>
          <w:u w:color="000000" w:themeColor="text1"/>
        </w:rPr>
        <w:t>335 of the 1976 Code, as added by Act 278 of 2012, is amended to read: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8C7241">
        <w:rPr>
          <w:color w:val="000000" w:themeColor="text1"/>
          <w:u w:color="000000" w:themeColor="text1"/>
        </w:rPr>
        <w:noBreakHyphen/>
      </w:r>
      <w:r w:rsidRPr="00CE754A">
        <w:rPr>
          <w:color w:val="000000" w:themeColor="text1"/>
          <w:u w:color="000000" w:themeColor="text1"/>
        </w:rPr>
        <w:t>16</w:t>
      </w:r>
      <w:r w:rsidR="008C7241">
        <w:rPr>
          <w:color w:val="000000" w:themeColor="text1"/>
          <w:u w:color="000000" w:themeColor="text1"/>
        </w:rPr>
        <w:noBreakHyphen/>
      </w:r>
      <w:r w:rsidRPr="00CE754A">
        <w:rPr>
          <w:color w:val="000000" w:themeColor="text1"/>
          <w:u w:color="000000" w:themeColor="text1"/>
        </w:rPr>
        <w:t>335.</w:t>
      </w:r>
      <w:r w:rsidRPr="00CE754A">
        <w:rPr>
          <w:color w:val="000000" w:themeColor="text1"/>
          <w:u w:color="000000" w:themeColor="text1"/>
        </w:rPr>
        <w:tab/>
      </w:r>
      <w:r w:rsidRPr="00CE754A">
        <w:rPr>
          <w:color w:val="000000" w:themeColor="text1"/>
          <w:u w:val="single" w:color="000000" w:themeColor="text1"/>
        </w:rPr>
        <w:t>(A)</w:t>
      </w:r>
      <w:r>
        <w:rPr>
          <w:color w:val="000000" w:themeColor="text1"/>
          <w:u w:color="000000" w:themeColor="text1"/>
        </w:rPr>
        <w:tab/>
      </w:r>
      <w:r w:rsidRPr="00CE754A">
        <w:rPr>
          <w:color w:val="000000" w:themeColor="text1"/>
          <w:u w:color="000000" w:themeColor="text1"/>
        </w:rPr>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8C7241">
        <w:rPr>
          <w:color w:val="000000" w:themeColor="text1"/>
          <w:u w:color="000000" w:themeColor="text1"/>
        </w:rPr>
        <w:noBreakHyphen/>
      </w:r>
      <w:r w:rsidRPr="00CE754A">
        <w:rPr>
          <w:color w:val="000000" w:themeColor="text1"/>
          <w:u w:color="000000" w:themeColor="text1"/>
        </w:rPr>
        <w:t>half percent.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(B)</w:t>
      </w:r>
      <w:r w:rsidRPr="00CE754A">
        <w:rPr>
          <w:color w:val="000000" w:themeColor="text1"/>
          <w:u w:color="000000" w:themeColor="text1"/>
        </w:rPr>
        <w:tab/>
      </w:r>
      <w:r w:rsidRPr="00CE754A">
        <w:rPr>
          <w:color w:val="000000" w:themeColor="text1"/>
          <w:u w:val="single" w:color="000000" w:themeColor="text1"/>
        </w:rPr>
        <w:t>The assumed rate of return established in subsection (A) expires on July 1, 2016, and every four years thereafter unless, at any time during that four year period, the General Assembly, by joint r</w:t>
      </w:r>
      <w:r w:rsidR="008C7241">
        <w:rPr>
          <w:color w:val="000000" w:themeColor="text1"/>
          <w:u w:val="single" w:color="000000" w:themeColor="text1"/>
        </w:rPr>
        <w:t>esolution</w:t>
      </w:r>
      <w:r w:rsidR="00FD3476">
        <w:rPr>
          <w:color w:val="000000" w:themeColor="text1"/>
          <w:u w:val="single" w:color="000000" w:themeColor="text1"/>
        </w:rPr>
        <w:t xml:space="preserve">, </w:t>
      </w:r>
      <w:r w:rsidRPr="00CE754A">
        <w:rPr>
          <w:color w:val="000000" w:themeColor="text1"/>
          <w:u w:val="single" w:color="000000" w:themeColor="text1"/>
        </w:rPr>
        <w:t>amends the assumed rate of return for the remainder of the current four</w:t>
      </w:r>
      <w:r>
        <w:rPr>
          <w:color w:val="000000" w:themeColor="text1"/>
          <w:u w:val="single" w:color="000000" w:themeColor="text1"/>
        </w:rPr>
        <w:t xml:space="preserve"> </w:t>
      </w:r>
      <w:r w:rsidRPr="00CE754A">
        <w:rPr>
          <w:color w:val="000000" w:themeColor="text1"/>
          <w:u w:val="single" w:color="000000" w:themeColor="text1"/>
        </w:rPr>
        <w:t>year period.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(C)</w:t>
      </w:r>
      <w:r w:rsidRPr="00CE754A">
        <w:rPr>
          <w:color w:val="000000" w:themeColor="text1"/>
          <w:u w:color="000000" w:themeColor="text1"/>
        </w:rPr>
        <w:tab/>
      </w:r>
      <w:r w:rsidRPr="00CE754A">
        <w:rPr>
          <w:color w:val="000000" w:themeColor="text1"/>
          <w:u w:val="single" w:color="000000" w:themeColor="text1"/>
        </w:rPr>
        <w:t xml:space="preserve">No later than January first of each year in which the assumed rate of return is due to expire, the board shall submit a proposed </w:t>
      </w:r>
      <w:r w:rsidRPr="00CE754A">
        <w:rPr>
          <w:color w:val="000000" w:themeColor="text1"/>
          <w:u w:val="single" w:color="000000" w:themeColor="text1"/>
        </w:rPr>
        <w:lastRenderedPageBreak/>
        <w:t xml:space="preserve">assumed rate of return for the corresponding four years to the President Pro Tempore of the Senate, the Speaker of the House of Representatives, and the State Fiscal Accountability Authority. </w:t>
      </w:r>
      <w:r w:rsidR="008C7241">
        <w:rPr>
          <w:color w:val="000000" w:themeColor="text1"/>
          <w:u w:val="single" w:color="000000" w:themeColor="text1"/>
        </w:rPr>
        <w:t xml:space="preserve"> The proposed assumed rate of return must be developed in consultation with the board</w:t>
      </w:r>
      <w:r w:rsidR="008C7241" w:rsidRPr="008C7241">
        <w:rPr>
          <w:color w:val="000000" w:themeColor="text1"/>
          <w:u w:val="single" w:color="000000" w:themeColor="text1"/>
        </w:rPr>
        <w:t>’</w:t>
      </w:r>
      <w:r w:rsidR="008C7241">
        <w:rPr>
          <w:color w:val="000000" w:themeColor="text1"/>
          <w:u w:val="single" w:color="000000" w:themeColor="text1"/>
        </w:rPr>
        <w:t xml:space="preserve">s actuary.  </w:t>
      </w:r>
      <w:r w:rsidRPr="00CE754A">
        <w:rPr>
          <w:color w:val="000000" w:themeColor="text1"/>
          <w:u w:val="single" w:color="000000" w:themeColor="text1"/>
        </w:rPr>
        <w:t>Along with the proposed rate, the board shall submit an actuarially based explanation for the rate proposed.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If the General Assembly does not continue or amend the assumed rate of return prior to expiration, the assumed rate of return must be set by vote of the State Fiscal Accountability Authority.</w:t>
      </w:r>
      <w:r w:rsidR="00664392" w:rsidRPr="00664392">
        <w:rPr>
          <w:color w:val="000000" w:themeColor="text1"/>
          <w:u w:color="000000" w:themeColor="text1"/>
        </w:rPr>
        <w: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t>2.</w:t>
      </w:r>
      <w:r w:rsidRPr="00CE754A">
        <w:rPr>
          <w:color w:val="000000" w:themeColor="text1"/>
          <w:u w:color="000000" w:themeColor="text1"/>
        </w:rPr>
        <w:tab/>
        <w:t>Section 9</w:t>
      </w:r>
      <w:r w:rsidR="008C7241">
        <w:rPr>
          <w:color w:val="000000" w:themeColor="text1"/>
          <w:u w:color="000000" w:themeColor="text1"/>
        </w:rPr>
        <w:noBreakHyphen/>
      </w:r>
      <w:r w:rsidRPr="00CE754A">
        <w:rPr>
          <w:color w:val="000000" w:themeColor="text1"/>
          <w:u w:color="000000" w:themeColor="text1"/>
        </w:rPr>
        <w:t>1</w:t>
      </w:r>
      <w:r w:rsidR="008C7241">
        <w:rPr>
          <w:color w:val="000000" w:themeColor="text1"/>
          <w:u w:color="000000" w:themeColor="text1"/>
        </w:rPr>
        <w:noBreakHyphen/>
      </w:r>
      <w:r w:rsidRPr="00CE754A">
        <w:rPr>
          <w:color w:val="000000" w:themeColor="text1"/>
          <w:u w:color="000000" w:themeColor="text1"/>
        </w:rPr>
        <w:t>1085(C) and (D) of the 1976 Code, as added by Act 278 of 2012, is amended to read: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 xml:space="preserve">If the scheduled employer and employee contributions provided in subsection (A), or the rates last adopted by the board pursuant to subsection (B), are insufficient to maintain a </w:t>
      </w:r>
      <w:r w:rsidRPr="00CE754A">
        <w:rPr>
          <w:strike/>
          <w:color w:val="000000" w:themeColor="text1"/>
          <w:u w:color="000000" w:themeColor="text1"/>
        </w:rPr>
        <w:t>thirty</w:t>
      </w:r>
      <w:r w:rsidRPr="00CE754A">
        <w:rPr>
          <w:color w:val="000000" w:themeColor="text1"/>
          <w:u w:color="000000" w:themeColor="text1"/>
        </w:rPr>
        <w:t xml:space="preserve"> </w:t>
      </w:r>
      <w:r w:rsidRPr="00CE754A">
        <w:rPr>
          <w:color w:val="000000" w:themeColor="text1"/>
          <w:u w:val="single" w:color="000000" w:themeColor="text1"/>
        </w:rPr>
        <w:t>twenty</w:t>
      </w:r>
      <w:r w:rsidRPr="00CE754A">
        <w:rPr>
          <w:color w:val="000000" w:themeColor="text1"/>
          <w:u w:color="000000" w:themeColor="text1"/>
        </w:rPr>
        <w:t xml:space="preserve">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w:t>
      </w:r>
      <w:r w:rsidRPr="00CE754A">
        <w:rPr>
          <w:strike/>
          <w:color w:val="000000" w:themeColor="text1"/>
          <w:u w:color="000000" w:themeColor="text1"/>
        </w:rPr>
        <w:t>thirty</w:t>
      </w:r>
      <w:r w:rsidRPr="00CE754A">
        <w:rPr>
          <w:color w:val="000000" w:themeColor="text1"/>
          <w:u w:color="000000" w:themeColor="text1"/>
        </w:rPr>
        <w:t xml:space="preserve"> </w:t>
      </w:r>
      <w:r w:rsidRPr="00CE754A">
        <w:rPr>
          <w:color w:val="000000" w:themeColor="text1"/>
          <w:u w:val="single" w:color="000000" w:themeColor="text1"/>
        </w:rPr>
        <w:t>the greater of (i) twenty</w:t>
      </w:r>
      <w:r w:rsidRPr="00CE754A">
        <w:rPr>
          <w:color w:val="000000" w:themeColor="text1"/>
          <w:u w:color="000000" w:themeColor="text1"/>
        </w:rPr>
        <w:t xml:space="preserve"> years </w:t>
      </w:r>
      <w:r w:rsidRPr="00CE754A">
        <w:rPr>
          <w:color w:val="000000" w:themeColor="text1"/>
          <w:u w:val="single" w:color="000000" w:themeColor="text1"/>
        </w:rPr>
        <w:t>or (ii) the amortization schedule set forth in the system</w:t>
      </w:r>
      <w:r w:rsidR="008C7241" w:rsidRPr="008C7241">
        <w:rPr>
          <w:color w:val="000000" w:themeColor="text1"/>
          <w:u w:val="single" w:color="000000" w:themeColor="text1"/>
        </w:rPr>
        <w:t>’</w:t>
      </w:r>
      <w:r w:rsidRPr="00CE754A">
        <w:rPr>
          <w:color w:val="000000" w:themeColor="text1"/>
          <w:u w:val="single" w:color="000000" w:themeColor="text1"/>
        </w:rPr>
        <w:t>s actuarial valuation for the prior fiscal year</w:t>
      </w:r>
      <w:r w:rsidRPr="00CE754A">
        <w:rPr>
          <w:color w:val="000000" w:themeColor="text1"/>
          <w:u w:color="000000" w:themeColor="text1"/>
        </w:rPr>
        <w:t>. Such adjustments may be made without regard to the annual limit increase of one</w:t>
      </w:r>
      <w:r w:rsidR="008C7241">
        <w:rPr>
          <w:color w:val="000000" w:themeColor="text1"/>
          <w:u w:color="000000" w:themeColor="text1"/>
        </w:rPr>
        <w:noBreakHyphen/>
      </w:r>
      <w:r w:rsidRPr="00CE754A">
        <w:rPr>
          <w:color w:val="000000" w:themeColor="text1"/>
          <w:u w:color="000000" w:themeColor="text1"/>
        </w:rPr>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(D)(1)</w:t>
      </w:r>
      <w:r w:rsidRPr="00CE754A">
        <w:rPr>
          <w:color w:val="000000" w:themeColor="text1"/>
          <w:u w:color="000000" w:themeColor="text1"/>
        </w:rPr>
        <w:tab/>
        <w:t>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percent. Any decrease in contribution rates must maintain the 2.9 percent differential between employer and employee contribution rates provided pursuant to subsection (B) of this section.</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If contribution rates are decreased pursuant to item (1) of this subsection and the most recent annual actuarial valuation of the system shows a funded ratio of less than ninety percent, then effective on the following July first, and annually thereafter as </w:t>
      </w:r>
      <w:r w:rsidRPr="00CE754A">
        <w:rPr>
          <w:color w:val="000000" w:themeColor="text1"/>
          <w:u w:color="000000" w:themeColor="text1"/>
        </w:rPr>
        <w:lastRenderedPageBreak/>
        <w:t>necessary, the board shall increase the then current contribution rates as provided pursuant to subsection (B) of this section until a subsequent annual actuarial valuation of the system shows a funded ratio that is equal to or greater than ninety percent.</w:t>
      </w:r>
    </w:p>
    <w:p w:rsidR="0091550B" w:rsidRPr="00664392"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(3)</w:t>
      </w:r>
      <w:r w:rsidRPr="00CE754A">
        <w:rPr>
          <w:color w:val="000000" w:themeColor="text1"/>
          <w:u w:color="000000" w:themeColor="text1"/>
        </w:rPr>
        <w:tab/>
      </w:r>
      <w:r w:rsidRPr="00CE754A">
        <w:rPr>
          <w:color w:val="000000" w:themeColor="text1"/>
          <w:u w:val="single" w:color="000000" w:themeColor="text1"/>
        </w:rPr>
        <w:t xml:space="preserve">The General Assembly may appropriate funds in any fiscal year for the purpose of shortening the amortization schedule. </w:t>
      </w:r>
      <w:r w:rsidR="00A533A4">
        <w:rPr>
          <w:color w:val="000000" w:themeColor="text1"/>
          <w:u w:val="single" w:color="000000" w:themeColor="text1"/>
        </w:rPr>
        <w:t xml:space="preserve"> If the funds are appropriated</w:t>
      </w:r>
      <w:r w:rsidR="009D73BD">
        <w:rPr>
          <w:color w:val="000000" w:themeColor="text1"/>
          <w:u w:val="single" w:color="000000" w:themeColor="text1"/>
        </w:rPr>
        <w:t xml:space="preserve"> it</w:t>
      </w:r>
      <w:r w:rsidRPr="00CE754A">
        <w:rPr>
          <w:color w:val="000000" w:themeColor="text1"/>
          <w:u w:val="single" w:color="000000" w:themeColor="text1"/>
        </w:rPr>
        <w:t xml:space="preserve"> is in addition to any lessening of the amortization schedule allowed by the provisions of subsection (C)(ii).</w:t>
      </w:r>
      <w:r w:rsidR="00664392">
        <w:rPr>
          <w:color w:val="000000" w:themeColor="text1"/>
          <w:u w:color="000000" w:themeColor="text1"/>
        </w:rPr>
        <w: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350A2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985CB5" w:rsidRDefault="008C7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53FF" w:rsidRDefault="005D53FF" w:rsidP="005D53FF">
      <w:pPr>
        <w:suppressAutoHyphens/>
      </w:pPr>
    </w:p>
    <w:sectPr w:rsidR="005D53FF" w:rsidSect="005D53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AF" w:rsidRDefault="00B05AAF" w:rsidP="009F0C77">
      <w:r>
        <w:separator/>
      </w:r>
    </w:p>
  </w:endnote>
  <w:endnote w:type="continuationSeparator" w:id="0">
    <w:p w:rsidR="00B05AAF" w:rsidRDefault="00B05A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27329D-540F-4EE0-A320-D74E2A1D280C}"/>
    <w:embedBold r:id="rId2" w:fontKey="{32EE8D2A-4C8E-4783-8091-2FB4BF59A64D}"/>
  </w:font>
  <w:font w:name="Calibri">
    <w:panose1 w:val="020F0502020204030204"/>
    <w:charset w:val="00"/>
    <w:family w:val="swiss"/>
    <w:pitch w:val="variable"/>
    <w:sig w:usb0="E00002FF" w:usb1="4000ACFF" w:usb2="00000001" w:usb3="00000000" w:csb0="0000019F" w:csb1="00000000"/>
    <w:embedRegular r:id="rId3" w:fontKey="{2F370E06-F8BA-4754-898C-D443606279D9}"/>
  </w:font>
  <w:font w:name="Segoe UI">
    <w:panose1 w:val="020B0502040204020203"/>
    <w:charset w:val="00"/>
    <w:family w:val="swiss"/>
    <w:pitch w:val="variable"/>
    <w:sig w:usb0="E10022FF" w:usb1="C000E47F" w:usb2="00000029" w:usb3="00000000" w:csb0="000001DF" w:csb1="00000000"/>
    <w:embedRegular r:id="rId4" w:fontKey="{8E044514-0735-4060-B21C-3587726C9344}"/>
  </w:font>
  <w:font w:name="Cambria">
    <w:panose1 w:val="02040503050406030204"/>
    <w:charset w:val="00"/>
    <w:family w:val="roman"/>
    <w:pitch w:val="variable"/>
    <w:sig w:usb0="E00002FF" w:usb1="400004FF" w:usb2="00000000" w:usb3="00000000" w:csb0="0000019F" w:csb1="00000000"/>
    <w:embedRegular r:id="rId5" w:fontKey="{3745F177-A922-4BE3-95AB-23E498C8CD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CB5" w:rsidRPr="005D53FF" w:rsidRDefault="005D53FF" w:rsidP="005D53FF">
    <w:pPr>
      <w:pStyle w:val="Footer"/>
      <w:tabs>
        <w:tab w:val="clear" w:pos="4680"/>
        <w:tab w:val="clear" w:pos="9360"/>
        <w:tab w:val="center" w:pos="2995"/>
      </w:tabs>
      <w:spacing w:before="120"/>
    </w:pPr>
    <w:r>
      <w:t>[5007]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AF" w:rsidRDefault="00B05AAF" w:rsidP="009F0C77">
      <w:r>
        <w:separator/>
      </w:r>
    </w:p>
  </w:footnote>
  <w:footnote w:type="continuationSeparator" w:id="0">
    <w:p w:rsidR="00B05AAF" w:rsidRDefault="00B05A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6DG16"/>
    <w:docVar w:name="CoverBillType" w:val="b"/>
    <w:docVar w:name="docpath" w:val="L:\Council\bills\BBM\9446DG16.DOCX"/>
    <w:docVar w:name="dvBillNumber" w:val="5007"/>
    <w:docVar w:name="dvBillNumberPrefix" w:val="H. "/>
    <w:docVar w:name="dvOriginalBody" w:val="House"/>
    <w:docVar w:name="dvSteno" w:val="BBM"/>
    <w:docVar w:name="NameofBody" w:val="h"/>
    <w:docVar w:name="vgroup2" w:val="Council"/>
  </w:docVars>
  <w:rsids>
    <w:rsidRoot w:val="00B05AAF"/>
    <w:rsid w:val="00011869"/>
    <w:rsid w:val="00015CD6"/>
    <w:rsid w:val="00077CE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796D"/>
    <w:rsid w:val="00284AAE"/>
    <w:rsid w:val="002E5912"/>
    <w:rsid w:val="00301B21"/>
    <w:rsid w:val="00325348"/>
    <w:rsid w:val="0032732C"/>
    <w:rsid w:val="00336AD0"/>
    <w:rsid w:val="00350A2A"/>
    <w:rsid w:val="0037079A"/>
    <w:rsid w:val="003C4DAB"/>
    <w:rsid w:val="003D01E8"/>
    <w:rsid w:val="003E5288"/>
    <w:rsid w:val="003F6D79"/>
    <w:rsid w:val="004031E9"/>
    <w:rsid w:val="0041760A"/>
    <w:rsid w:val="00417C01"/>
    <w:rsid w:val="004403BD"/>
    <w:rsid w:val="00461441"/>
    <w:rsid w:val="004809EE"/>
    <w:rsid w:val="004A5684"/>
    <w:rsid w:val="004D577F"/>
    <w:rsid w:val="004E7D54"/>
    <w:rsid w:val="004F7C47"/>
    <w:rsid w:val="005273C6"/>
    <w:rsid w:val="00530A69"/>
    <w:rsid w:val="00545593"/>
    <w:rsid w:val="00577C6C"/>
    <w:rsid w:val="005C2FE2"/>
    <w:rsid w:val="005D53FF"/>
    <w:rsid w:val="005E2BC9"/>
    <w:rsid w:val="00605102"/>
    <w:rsid w:val="00607DF6"/>
    <w:rsid w:val="006215AA"/>
    <w:rsid w:val="0064643A"/>
    <w:rsid w:val="00664392"/>
    <w:rsid w:val="006913C9"/>
    <w:rsid w:val="0069470D"/>
    <w:rsid w:val="00734F00"/>
    <w:rsid w:val="007A70AE"/>
    <w:rsid w:val="007B1CA2"/>
    <w:rsid w:val="008362E8"/>
    <w:rsid w:val="0084188A"/>
    <w:rsid w:val="0084457F"/>
    <w:rsid w:val="008875E9"/>
    <w:rsid w:val="008A1768"/>
    <w:rsid w:val="008C7241"/>
    <w:rsid w:val="008F0F33"/>
    <w:rsid w:val="008F4429"/>
    <w:rsid w:val="0091550B"/>
    <w:rsid w:val="0094021A"/>
    <w:rsid w:val="00985CB5"/>
    <w:rsid w:val="009973B2"/>
    <w:rsid w:val="009B44AF"/>
    <w:rsid w:val="009C6A0B"/>
    <w:rsid w:val="009D73BD"/>
    <w:rsid w:val="009E0FC2"/>
    <w:rsid w:val="009F0C77"/>
    <w:rsid w:val="009F4DD1"/>
    <w:rsid w:val="00A41684"/>
    <w:rsid w:val="00A533A4"/>
    <w:rsid w:val="00A64E80"/>
    <w:rsid w:val="00A72BCD"/>
    <w:rsid w:val="00A741D9"/>
    <w:rsid w:val="00A833AB"/>
    <w:rsid w:val="00A9741D"/>
    <w:rsid w:val="00AD4B17"/>
    <w:rsid w:val="00B05AAF"/>
    <w:rsid w:val="00B412D4"/>
    <w:rsid w:val="00B53E75"/>
    <w:rsid w:val="00BB14CC"/>
    <w:rsid w:val="00BE3C22"/>
    <w:rsid w:val="00C0345E"/>
    <w:rsid w:val="00C069BA"/>
    <w:rsid w:val="00C3483A"/>
    <w:rsid w:val="00C74E9D"/>
    <w:rsid w:val="00C82FD3"/>
    <w:rsid w:val="00C92819"/>
    <w:rsid w:val="00CC6B7B"/>
    <w:rsid w:val="00CD2089"/>
    <w:rsid w:val="00D73A67"/>
    <w:rsid w:val="00D970A9"/>
    <w:rsid w:val="00DA2827"/>
    <w:rsid w:val="00DF3845"/>
    <w:rsid w:val="00E41911"/>
    <w:rsid w:val="00E92EEF"/>
    <w:rsid w:val="00EF2368"/>
    <w:rsid w:val="00EF659A"/>
    <w:rsid w:val="00F24442"/>
    <w:rsid w:val="00F50AE3"/>
    <w:rsid w:val="00F656BA"/>
    <w:rsid w:val="00F67CF1"/>
    <w:rsid w:val="00F840F0"/>
    <w:rsid w:val="00F92F99"/>
    <w:rsid w:val="00FB0D0D"/>
    <w:rsid w:val="00FB43B4"/>
    <w:rsid w:val="00FB5649"/>
    <w:rsid w:val="00FB5BFF"/>
    <w:rsid w:val="00FD34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71090-29C2-46BB-988F-BCF83D87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5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23F37-404B-42E0-BAF9-FCE2926D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3</Pages>
  <Words>776</Words>
  <Characters>3939</Characters>
  <Application>Microsoft Office Word</Application>
  <DocSecurity>0</DocSecurity>
  <Lines>97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5007 Text of Previous Version (Feb. 25, 2016) - South Carolina Legislature Online</dc:title>
  <dc:creator>BRENDA MELTON</dc:creator>
  <cp:lastModifiedBy>N Cumfer</cp:lastModifiedBy>
  <cp:revision>2</cp:revision>
  <cp:lastPrinted>2016-02-23T17:00:00Z</cp:lastPrinted>
  <dcterms:created xsi:type="dcterms:W3CDTF">2016-02-25T18:47:00Z</dcterms:created>
  <dcterms:modified xsi:type="dcterms:W3CDTF">2016-02-25T18:47:00Z</dcterms:modified>
</cp:coreProperties>
</file>