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F58" w:rsidRDefault="00CD5F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5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74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71E"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62</w:t>
      </w:r>
      <w:r w:rsidR="00B32A80">
        <w:noBreakHyphen/>
      </w:r>
      <w:r>
        <w:t>3</w:t>
      </w:r>
      <w:r w:rsidR="00B32A80">
        <w:noBreakHyphen/>
      </w:r>
      <w:r>
        <w:t>108, AS AMENDED, CODE OF LAWS OF SOUTH CAROLINA, 1976, RELATING TO THE ULTIMATE TIME LIMIT TO COMMENCE A PROBATE, TESTACY, OR APPOINTMENT PROCEEDING, SO AS TO PROVIDE FOR THE COMMENCEMENT OF CERTAIN PROCEEDINGS MORE THAN TEN YEARS AFTER A DECEDENT</w:t>
      </w:r>
      <w:r w:rsidR="00B32A80" w:rsidRPr="00B32A80">
        <w:t>’</w:t>
      </w:r>
      <w:r>
        <w:t xml:space="preserve">S DEATH IF, IN THE DISCRETION OF THE COURT, EXTRAORDINARY CIRCUMSTANCES PREVENTED THE COMMENCEMENT OF PROCEEDINGS </w:t>
      </w:r>
      <w:r w:rsidRPr="00D857FE">
        <w:t>SOONER THAN TEN YEARS AFTER THE DECEDENT</w:t>
      </w:r>
      <w:r w:rsidR="00B32A80" w:rsidRPr="00D857FE">
        <w:t>’</w:t>
      </w:r>
      <w:r w:rsidRPr="00D857FE">
        <w:t xml:space="preserve">S </w:t>
      </w:r>
      <w:r>
        <w:t xml:space="preserve">DEATH AND IT IS EQUITABLE TO DO SO.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7434" w:rsidRDefault="0085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7434" w:rsidRDefault="008574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SECTION</w:t>
      </w:r>
      <w:r w:rsidRPr="00F561F2">
        <w:rPr>
          <w:color w:val="000000" w:themeColor="text1"/>
          <w:u w:color="000000" w:themeColor="text1"/>
        </w:rPr>
        <w:tab/>
        <w:t>1.</w:t>
      </w:r>
      <w:r w:rsidRPr="00F561F2">
        <w:rPr>
          <w:color w:val="000000" w:themeColor="text1"/>
          <w:u w:color="000000" w:themeColor="text1"/>
        </w:rPr>
        <w:tab/>
        <w:t>Section 62</w:t>
      </w:r>
      <w:r w:rsidR="00B32A80">
        <w:rPr>
          <w:color w:val="000000" w:themeColor="text1"/>
          <w:u w:color="000000" w:themeColor="text1"/>
        </w:rPr>
        <w:noBreakHyphen/>
      </w:r>
      <w:r w:rsidRPr="00F561F2">
        <w:rPr>
          <w:color w:val="000000" w:themeColor="text1"/>
          <w:u w:color="000000" w:themeColor="text1"/>
        </w:rPr>
        <w:t>3</w:t>
      </w:r>
      <w:r w:rsidR="00B32A80">
        <w:rPr>
          <w:color w:val="000000" w:themeColor="text1"/>
          <w:u w:color="000000" w:themeColor="text1"/>
        </w:rPr>
        <w:noBreakHyphen/>
      </w:r>
      <w:r w:rsidRPr="00F561F2">
        <w:rPr>
          <w:color w:val="000000" w:themeColor="text1"/>
          <w:u w:color="000000" w:themeColor="text1"/>
        </w:rPr>
        <w:t>108 of the 1976 Code, as last amended by Act 100 of 2013, is further amended to read: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t>“Section 62</w:t>
      </w:r>
      <w:r w:rsidR="00B32A80">
        <w:rPr>
          <w:color w:val="000000" w:themeColor="text1"/>
          <w:u w:color="000000" w:themeColor="text1"/>
        </w:rPr>
        <w:noBreakHyphen/>
      </w:r>
      <w:r w:rsidRPr="00F561F2">
        <w:rPr>
          <w:color w:val="000000" w:themeColor="text1"/>
          <w:u w:color="000000" w:themeColor="text1"/>
        </w:rPr>
        <w:t>3</w:t>
      </w:r>
      <w:r w:rsidR="00B32A80">
        <w:rPr>
          <w:color w:val="000000" w:themeColor="text1"/>
          <w:u w:color="000000" w:themeColor="text1"/>
        </w:rPr>
        <w:noBreakHyphen/>
      </w:r>
      <w:r w:rsidRPr="00F561F2">
        <w:rPr>
          <w:color w:val="000000" w:themeColor="text1"/>
          <w:u w:color="000000" w:themeColor="text1"/>
        </w:rPr>
        <w:t>108.</w:t>
      </w:r>
      <w:r w:rsidRPr="00F561F2">
        <w:rPr>
          <w:color w:val="000000" w:themeColor="text1"/>
          <w:u w:color="000000" w:themeColor="text1"/>
        </w:rPr>
        <w:tab/>
        <w:t>(A)(1)</w:t>
      </w:r>
      <w:r>
        <w:rPr>
          <w:color w:val="000000" w:themeColor="text1"/>
          <w:u w:color="000000" w:themeColor="text1"/>
        </w:rPr>
        <w:tab/>
      </w:r>
      <w:r w:rsidRPr="00F561F2">
        <w:rPr>
          <w:color w:val="000000" w:themeColor="text1"/>
          <w:u w:color="000000" w:themeColor="text1"/>
        </w:rPr>
        <w:t>No informal probate</w:t>
      </w:r>
      <w:r w:rsidR="00D5313A">
        <w:rPr>
          <w:color w:val="000000" w:themeColor="text1"/>
          <w:u w:val="single" w:color="000000" w:themeColor="text1"/>
        </w:rPr>
        <w:t>,</w:t>
      </w:r>
      <w:r w:rsidRPr="00F561F2">
        <w:rPr>
          <w:color w:val="000000" w:themeColor="text1"/>
          <w:u w:color="000000" w:themeColor="text1"/>
        </w:rPr>
        <w:t xml:space="preserve"> </w:t>
      </w:r>
      <w:r w:rsidRPr="00D5313A">
        <w:rPr>
          <w:strike/>
          <w:color w:val="000000" w:themeColor="text1"/>
          <w:u w:color="000000" w:themeColor="text1"/>
        </w:rPr>
        <w:t>or</w:t>
      </w:r>
      <w:r w:rsidRPr="00F561F2">
        <w:rPr>
          <w:color w:val="000000" w:themeColor="text1"/>
          <w:u w:color="000000" w:themeColor="text1"/>
        </w:rPr>
        <w:t xml:space="preserve"> appointment proceeding</w:t>
      </w:r>
      <w:r w:rsidR="00D5313A">
        <w:rPr>
          <w:color w:val="000000" w:themeColor="text1"/>
          <w:u w:val="single" w:color="000000" w:themeColor="text1"/>
        </w:rPr>
        <w:t>,</w:t>
      </w:r>
      <w:r w:rsidRPr="00F561F2">
        <w:rPr>
          <w:color w:val="000000" w:themeColor="text1"/>
          <w:u w:color="000000" w:themeColor="text1"/>
        </w:rPr>
        <w:t xml:space="preserve"> </w:t>
      </w:r>
      <w:r w:rsidRPr="00D5313A">
        <w:rPr>
          <w:strike/>
          <w:color w:val="000000" w:themeColor="text1"/>
          <w:u w:color="000000" w:themeColor="text1"/>
        </w:rPr>
        <w:t>or</w:t>
      </w:r>
      <w:r w:rsidRPr="00F561F2">
        <w:rPr>
          <w:color w:val="000000" w:themeColor="text1"/>
          <w:u w:color="000000" w:themeColor="text1"/>
        </w:rPr>
        <w:t xml:space="preserve"> formal testacy</w:t>
      </w:r>
      <w:r w:rsidR="00D5313A">
        <w:rPr>
          <w:color w:val="000000" w:themeColor="text1"/>
          <w:u w:val="single" w:color="000000" w:themeColor="text1"/>
        </w:rPr>
        <w:t>,</w:t>
      </w:r>
      <w:r w:rsidRPr="00F561F2">
        <w:rPr>
          <w:color w:val="000000" w:themeColor="text1"/>
          <w:u w:color="000000" w:themeColor="text1"/>
        </w:rPr>
        <w:t xml:space="preserve"> </w:t>
      </w:r>
      <w:r w:rsidRPr="00D5313A">
        <w:rPr>
          <w:color w:val="000000" w:themeColor="text1"/>
          <w:u w:color="000000" w:themeColor="text1"/>
        </w:rPr>
        <w:t>or</w:t>
      </w:r>
      <w:r w:rsidRPr="00F561F2">
        <w:rPr>
          <w:color w:val="000000" w:themeColor="text1"/>
          <w:u w:color="000000" w:themeColor="text1"/>
        </w:rPr>
        <w:t xml:space="preserve"> appointment proceeding, other than a proceeding to probate a will previously probated at the testator</w:t>
      </w:r>
      <w:r w:rsidR="00B32A80" w:rsidRPr="00B32A80">
        <w:rPr>
          <w:color w:val="000000" w:themeColor="text1"/>
          <w:u w:color="000000" w:themeColor="text1"/>
        </w:rPr>
        <w:t>’</w:t>
      </w:r>
      <w:r w:rsidRPr="00F561F2">
        <w:rPr>
          <w:color w:val="000000" w:themeColor="text1"/>
          <w:u w:color="000000" w:themeColor="text1"/>
        </w:rPr>
        <w:t>s domicile and appointment proceedings relating to an estate in which there has been a prior appointment, may be commenced more than ten years after the decedent</w:t>
      </w:r>
      <w:r w:rsidR="00B32A80" w:rsidRPr="00B32A80">
        <w:rPr>
          <w:color w:val="000000" w:themeColor="text1"/>
          <w:u w:color="000000" w:themeColor="text1"/>
        </w:rPr>
        <w:t>’</w:t>
      </w:r>
      <w:r w:rsidRPr="00F561F2">
        <w:rPr>
          <w:color w:val="000000" w:themeColor="text1"/>
          <w:u w:color="000000" w:themeColor="text1"/>
        </w:rPr>
        <w:t>s death.</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t>(2)</w:t>
      </w:r>
      <w:r>
        <w:rPr>
          <w:color w:val="000000" w:themeColor="text1"/>
          <w:u w:color="000000" w:themeColor="text1"/>
        </w:rPr>
        <w:tab/>
      </w:r>
      <w:r w:rsidRPr="00F561F2">
        <w:rPr>
          <w:color w:val="000000" w:themeColor="text1"/>
          <w:u w:color="000000" w:themeColor="text1"/>
        </w:rPr>
        <w:t xml:space="preserve">Notwithstanding </w:t>
      </w:r>
      <w:r w:rsidRPr="00D5313A">
        <w:rPr>
          <w:strike/>
          <w:color w:val="000000" w:themeColor="text1"/>
          <w:u w:color="000000" w:themeColor="text1"/>
        </w:rPr>
        <w:t>any other</w:t>
      </w:r>
      <w:r w:rsidR="00D5313A">
        <w:rPr>
          <w:color w:val="000000" w:themeColor="text1"/>
          <w:u w:color="000000" w:themeColor="text1"/>
        </w:rPr>
        <w:t xml:space="preserve"> </w:t>
      </w:r>
      <w:r w:rsidR="00D5313A">
        <w:rPr>
          <w:color w:val="000000" w:themeColor="text1"/>
          <w:u w:val="single" w:color="000000" w:themeColor="text1"/>
        </w:rPr>
        <w:t>another</w:t>
      </w:r>
      <w:r w:rsidRPr="00F561F2">
        <w:rPr>
          <w:color w:val="000000" w:themeColor="text1"/>
          <w:u w:color="000000" w:themeColor="text1"/>
        </w:rPr>
        <w:t xml:space="preserve"> provision of this section:</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t>(a)</w:t>
      </w:r>
      <w:r>
        <w:rPr>
          <w:color w:val="000000" w:themeColor="text1"/>
          <w:u w:color="000000" w:themeColor="text1"/>
        </w:rPr>
        <w:tab/>
      </w:r>
      <w:r w:rsidRPr="00F561F2">
        <w:rPr>
          <w:color w:val="000000" w:themeColor="text1"/>
          <w:u w:color="000000" w:themeColor="text1"/>
        </w:rPr>
        <w:t>if a previous proceeding was dismissed because of doubt about the fact of the decedent</w:t>
      </w:r>
      <w:r w:rsidR="00B32A80" w:rsidRPr="00B32A80">
        <w:rPr>
          <w:color w:val="000000" w:themeColor="text1"/>
          <w:u w:color="000000" w:themeColor="text1"/>
        </w:rPr>
        <w:t>’</w:t>
      </w:r>
      <w:r w:rsidRPr="00F561F2">
        <w:rPr>
          <w:color w:val="000000" w:themeColor="text1"/>
          <w:u w:color="000000" w:themeColor="text1"/>
        </w:rPr>
        <w:t>s death, appropriate probate, appointment, or testacy proceedings may be maintained at any time upon a finding that the decedent</w:t>
      </w:r>
      <w:r w:rsidR="00B32A80" w:rsidRPr="00B32A80">
        <w:rPr>
          <w:color w:val="000000" w:themeColor="text1"/>
          <w:u w:color="000000" w:themeColor="text1"/>
        </w:rPr>
        <w:t>’</w:t>
      </w:r>
      <w:r w:rsidRPr="00F561F2">
        <w:rPr>
          <w:color w:val="000000" w:themeColor="text1"/>
          <w:u w:color="000000" w:themeColor="text1"/>
        </w:rPr>
        <w:t xml:space="preserve">s death occurred prior to the initiation of the previous proceeding and the applicant or petitioner has not delayed unduly in initiating the subsequent proceeding and </w:t>
      </w:r>
      <w:r w:rsidRPr="00F561F2">
        <w:rPr>
          <w:color w:val="000000" w:themeColor="text1"/>
          <w:u w:color="000000" w:themeColor="text1"/>
        </w:rPr>
        <w:lastRenderedPageBreak/>
        <w:t>if that previous proceeding was commenced within the time limits of this section;</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t>(b)</w:t>
      </w:r>
      <w:r>
        <w:rPr>
          <w:color w:val="000000" w:themeColor="text1"/>
          <w:u w:color="000000" w:themeColor="text1"/>
        </w:rPr>
        <w:tab/>
      </w:r>
      <w:r w:rsidRPr="00F561F2">
        <w:rPr>
          <w:color w:val="000000" w:themeColor="text1"/>
          <w:u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w:t>
      </w:r>
      <w:r w:rsidRPr="00F561F2">
        <w:rPr>
          <w:strike/>
          <w:color w:val="000000" w:themeColor="text1"/>
          <w:u w:color="000000" w:themeColor="text1"/>
        </w:rPr>
        <w:t>and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t>(c)</w:t>
      </w:r>
      <w:r>
        <w:rPr>
          <w:color w:val="000000" w:themeColor="text1"/>
          <w:u w:color="000000" w:themeColor="text1"/>
        </w:rPr>
        <w:tab/>
      </w:r>
      <w:r w:rsidRPr="00F561F2">
        <w:rPr>
          <w:color w:val="000000" w:themeColor="text1"/>
          <w:u w:color="000000" w:themeColor="text1"/>
        </w:rPr>
        <w:t>a proceeding to contest an informally probated will and to secure appointment of the person with legal priority for appointment in the event the contest is successful may be commenced within eight months from informal probate or one year from the decedent</w:t>
      </w:r>
      <w:r w:rsidR="00B32A80" w:rsidRPr="00B32A80">
        <w:rPr>
          <w:color w:val="000000" w:themeColor="text1"/>
          <w:u w:color="000000" w:themeColor="text1"/>
        </w:rPr>
        <w:t>’</w:t>
      </w:r>
      <w:r w:rsidRPr="00F561F2">
        <w:rPr>
          <w:color w:val="000000" w:themeColor="text1"/>
          <w:u w:color="000000" w:themeColor="text1"/>
        </w:rPr>
        <w:t>s death, whichever is later</w:t>
      </w:r>
      <w:r w:rsidRPr="00F561F2">
        <w:rPr>
          <w:strike/>
          <w:color w:val="000000" w:themeColor="text1"/>
          <w:u w:color="000000" w:themeColor="text1"/>
        </w:rPr>
        <w:t>.</w:t>
      </w:r>
      <w:r w:rsidRPr="00F561F2">
        <w:rPr>
          <w:color w:val="000000" w:themeColor="text1"/>
          <w:u w:val="single" w:color="000000" w:themeColor="text1"/>
        </w:rPr>
        <w:t>; and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val="single" w:color="000000" w:themeColor="text1"/>
        </w:rPr>
        <w:t>(d)</w:t>
      </w:r>
      <w:r w:rsidRPr="00F561F2">
        <w:rPr>
          <w:color w:val="000000" w:themeColor="text1"/>
          <w:u w:color="000000" w:themeColor="text1"/>
        </w:rPr>
        <w:tab/>
      </w:r>
      <w:r w:rsidR="00627BD0" w:rsidRPr="00627BD0">
        <w:rPr>
          <w:color w:val="000000" w:themeColor="text1"/>
          <w:u w:val="single" w:color="000000" w:themeColor="text1"/>
        </w:rPr>
        <w:t>a</w:t>
      </w:r>
      <w:r w:rsidRPr="00F561F2">
        <w:rPr>
          <w:color w:val="000000" w:themeColor="text1"/>
          <w:u w:val="single" w:color="000000" w:themeColor="text1"/>
        </w:rPr>
        <w:t>n informal probate</w:t>
      </w:r>
      <w:r w:rsidR="00D5313A">
        <w:rPr>
          <w:color w:val="000000" w:themeColor="text1"/>
          <w:u w:val="single" w:color="000000" w:themeColor="text1"/>
        </w:rPr>
        <w:t>,</w:t>
      </w:r>
      <w:r w:rsidRPr="00F561F2">
        <w:rPr>
          <w:color w:val="000000" w:themeColor="text1"/>
          <w:u w:val="single" w:color="000000" w:themeColor="text1"/>
        </w:rPr>
        <w:t xml:space="preserve"> appointment</w:t>
      </w:r>
      <w:r w:rsidR="00D5313A">
        <w:rPr>
          <w:color w:val="000000" w:themeColor="text1"/>
          <w:u w:val="single" w:color="000000" w:themeColor="text1"/>
        </w:rPr>
        <w:t>,</w:t>
      </w:r>
      <w:r w:rsidRPr="00F561F2">
        <w:rPr>
          <w:color w:val="000000" w:themeColor="text1"/>
          <w:u w:val="single" w:color="000000" w:themeColor="text1"/>
        </w:rPr>
        <w:t xml:space="preserve"> formal testacy</w:t>
      </w:r>
      <w:r w:rsidR="00D5313A">
        <w:rPr>
          <w:color w:val="000000" w:themeColor="text1"/>
          <w:u w:val="single" w:color="000000" w:themeColor="text1"/>
        </w:rPr>
        <w:t>,</w:t>
      </w:r>
      <w:r w:rsidRPr="00F561F2">
        <w:rPr>
          <w:color w:val="000000" w:themeColor="text1"/>
          <w:u w:val="single" w:color="000000" w:themeColor="text1"/>
        </w:rPr>
        <w:t xml:space="preserve"> or appointment proceeding may be commenced more than ten years after the decedent</w:t>
      </w:r>
      <w:r w:rsidR="00B32A80" w:rsidRPr="00B32A80">
        <w:rPr>
          <w:color w:val="000000" w:themeColor="text1"/>
          <w:u w:val="single" w:color="000000" w:themeColor="text1"/>
        </w:rPr>
        <w:t>’</w:t>
      </w:r>
      <w:r w:rsidRPr="00F561F2">
        <w:rPr>
          <w:color w:val="000000" w:themeColor="text1"/>
          <w:u w:val="single" w:color="000000" w:themeColor="text1"/>
        </w:rPr>
        <w:t>s death if, in the discretion of the court:</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val="single" w:color="000000" w:themeColor="text1"/>
        </w:rPr>
        <w:t>(i)</w:t>
      </w:r>
      <w:r>
        <w:rPr>
          <w:color w:val="000000" w:themeColor="text1"/>
          <w:u w:val="single" w:color="000000" w:themeColor="text1"/>
        </w:rPr>
        <w:tab/>
      </w:r>
      <w:r>
        <w:rPr>
          <w:color w:val="000000" w:themeColor="text1"/>
          <w:u w:val="single" w:color="000000" w:themeColor="text1"/>
        </w:rPr>
        <w:tab/>
      </w:r>
      <w:r w:rsidRPr="00F561F2">
        <w:rPr>
          <w:color w:val="000000" w:themeColor="text1"/>
          <w:u w:val="single" w:color="000000" w:themeColor="text1"/>
        </w:rPr>
        <w:t>extraordinary circumstances prevented the commencement of proceedings sooner than ten years after the decedent</w:t>
      </w:r>
      <w:r w:rsidR="00B32A80" w:rsidRPr="00B32A80">
        <w:rPr>
          <w:color w:val="000000" w:themeColor="text1"/>
          <w:u w:val="single" w:color="000000" w:themeColor="text1"/>
        </w:rPr>
        <w:t>’</w:t>
      </w:r>
      <w:r w:rsidRPr="00F561F2">
        <w:rPr>
          <w:color w:val="000000" w:themeColor="text1"/>
          <w:u w:val="single" w:color="000000" w:themeColor="text1"/>
        </w:rPr>
        <w:t>s death; and</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color="000000" w:themeColor="text1"/>
        </w:rPr>
        <w:tab/>
      </w:r>
      <w:r w:rsidRPr="00F561F2">
        <w:rPr>
          <w:color w:val="000000" w:themeColor="text1"/>
          <w:u w:val="single" w:color="000000" w:themeColor="text1"/>
        </w:rPr>
        <w:t>(ii)</w:t>
      </w:r>
      <w:r>
        <w:rPr>
          <w:color w:val="000000" w:themeColor="text1"/>
          <w:u w:val="single" w:color="000000" w:themeColor="text1"/>
        </w:rPr>
        <w:tab/>
      </w:r>
      <w:r w:rsidRPr="00F561F2">
        <w:rPr>
          <w:color w:val="000000" w:themeColor="text1"/>
          <w:u w:val="single" w:color="000000" w:themeColor="text1"/>
        </w:rPr>
        <w:t>it is equitable to do so.</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ab/>
        <w:t>(B)</w:t>
      </w:r>
      <w:r>
        <w:rPr>
          <w:color w:val="000000" w:themeColor="text1"/>
          <w:u w:color="000000" w:themeColor="text1"/>
        </w:rPr>
        <w:tab/>
      </w:r>
      <w:r w:rsidRPr="00F561F2">
        <w:rPr>
          <w:color w:val="000000" w:themeColor="text1"/>
          <w:u w:val="single" w:color="000000" w:themeColor="text1"/>
        </w:rPr>
        <w:t>Except as provided in subsection (A)(2)(d),</w:t>
      </w:r>
      <w:r w:rsidRPr="00F561F2">
        <w:rPr>
          <w:color w:val="000000" w:themeColor="text1"/>
          <w:u w:color="000000" w:themeColor="text1"/>
        </w:rPr>
        <w:t xml:space="preserve"> if no informal probate and no formal testacy proceedings are commenced within ten years after the decedent</w:t>
      </w:r>
      <w:r w:rsidR="00B32A80" w:rsidRPr="00B32A80">
        <w:rPr>
          <w:color w:val="000000" w:themeColor="text1"/>
          <w:u w:color="000000" w:themeColor="text1"/>
        </w:rPr>
        <w:t>’</w:t>
      </w:r>
      <w:r w:rsidRPr="00F561F2">
        <w:rPr>
          <w:color w:val="000000" w:themeColor="text1"/>
          <w:u w:color="000000" w:themeColor="text1"/>
        </w:rPr>
        <w:t xml:space="preserve">s death, and no proceedings </w:t>
      </w:r>
      <w:r w:rsidRPr="00D5313A">
        <w:rPr>
          <w:strike/>
          <w:color w:val="000000" w:themeColor="text1"/>
          <w:u w:color="000000" w:themeColor="text1"/>
        </w:rPr>
        <w:t>under</w:t>
      </w:r>
      <w:r w:rsidR="00D5313A">
        <w:rPr>
          <w:color w:val="000000" w:themeColor="text1"/>
          <w:u w:color="000000" w:themeColor="text1"/>
        </w:rPr>
        <w:t xml:space="preserve"> </w:t>
      </w:r>
      <w:r w:rsidR="00D5313A" w:rsidRPr="00D5313A">
        <w:rPr>
          <w:color w:val="000000" w:themeColor="text1"/>
          <w:u w:val="single" w:color="000000" w:themeColor="text1"/>
        </w:rPr>
        <w:t>pursuant to</w:t>
      </w:r>
      <w:r w:rsidRPr="00F561F2">
        <w:rPr>
          <w:color w:val="000000" w:themeColor="text1"/>
          <w:u w:color="000000" w:themeColor="text1"/>
        </w:rPr>
        <w:t xml:space="preserve"> subsection (A)(2)(b) are commenced within the applicable period of three years, it is incontestable that the decedent left no will and that the decedent</w:t>
      </w:r>
      <w:r w:rsidR="00B32A80" w:rsidRPr="00B32A80">
        <w:rPr>
          <w:color w:val="000000" w:themeColor="text1"/>
          <w:u w:color="000000" w:themeColor="text1"/>
        </w:rPr>
        <w:t>’</w:t>
      </w:r>
      <w:r w:rsidRPr="00F561F2">
        <w:rPr>
          <w:color w:val="000000" w:themeColor="text1"/>
          <w:u w:color="000000" w:themeColor="text1"/>
        </w:rPr>
        <w:t>s estate passes by intestate succession. These limitations do not apply to proceedings to construe probated wills or determine heirs of an intestate. In proceeding</w:t>
      </w:r>
      <w:r>
        <w:rPr>
          <w:color w:val="000000" w:themeColor="text1"/>
          <w:u w:color="000000" w:themeColor="text1"/>
        </w:rPr>
        <w:t xml:space="preserve">s commenced </w:t>
      </w:r>
      <w:r w:rsidRPr="00D5313A">
        <w:rPr>
          <w:strike/>
          <w:color w:val="000000" w:themeColor="text1"/>
          <w:u w:color="000000" w:themeColor="text1"/>
        </w:rPr>
        <w:t>under</w:t>
      </w:r>
      <w:r w:rsidR="00D5313A">
        <w:rPr>
          <w:color w:val="000000" w:themeColor="text1"/>
          <w:u w:color="000000" w:themeColor="text1"/>
        </w:rPr>
        <w:t xml:space="preserve"> </w:t>
      </w:r>
      <w:r w:rsidR="00D5313A">
        <w:rPr>
          <w:color w:val="000000" w:themeColor="text1"/>
          <w:u w:val="single" w:color="000000" w:themeColor="text1"/>
        </w:rPr>
        <w:t>pursuant to</w:t>
      </w:r>
      <w:r>
        <w:rPr>
          <w:color w:val="000000" w:themeColor="text1"/>
          <w:u w:color="000000" w:themeColor="text1"/>
        </w:rPr>
        <w:t xml:space="preserve"> subsection (A)</w:t>
      </w:r>
      <w:r w:rsidRPr="00F561F2">
        <w:rPr>
          <w:color w:val="000000" w:themeColor="text1"/>
          <w:u w:color="000000" w:themeColor="text1"/>
        </w:rPr>
        <w:t>(2)(a) or (A)(2)(b), the date on which a testacy or appointment proceeding is properly commenced is deemed to be the date of the decedent</w:t>
      </w:r>
      <w:r w:rsidR="00B32A80" w:rsidRPr="00B32A80">
        <w:rPr>
          <w:color w:val="000000" w:themeColor="text1"/>
          <w:u w:color="000000" w:themeColor="text1"/>
        </w:rPr>
        <w:t>’</w:t>
      </w:r>
      <w:r w:rsidRPr="00F561F2">
        <w:rPr>
          <w:color w:val="000000" w:themeColor="text1"/>
          <w:u w:color="000000" w:themeColor="text1"/>
        </w:rPr>
        <w:t xml:space="preserve">s death for purposes of other limitations provisions of this </w:t>
      </w:r>
      <w:r w:rsidR="00627BD0">
        <w:rPr>
          <w:color w:val="000000" w:themeColor="text1"/>
          <w:u w:color="000000" w:themeColor="text1"/>
        </w:rPr>
        <w:t>c</w:t>
      </w:r>
      <w:r w:rsidRPr="00F561F2">
        <w:rPr>
          <w:color w:val="000000" w:themeColor="text1"/>
          <w:u w:color="000000" w:themeColor="text1"/>
        </w:rPr>
        <w:t>ode which relate to the date of death.”</w:t>
      </w: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8271E" w:rsidRPr="00F561F2" w:rsidRDefault="00F8271E" w:rsidP="00F82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561F2">
        <w:rPr>
          <w:color w:val="000000" w:themeColor="text1"/>
          <w:u w:color="000000" w:themeColor="text1"/>
        </w:rPr>
        <w:t>SECTION</w:t>
      </w:r>
      <w:r w:rsidRPr="00F561F2">
        <w:rPr>
          <w:color w:val="000000" w:themeColor="text1"/>
          <w:u w:color="000000" w:themeColor="text1"/>
        </w:rPr>
        <w:tab/>
        <w:t>2.</w:t>
      </w:r>
      <w:r w:rsidRPr="00F561F2">
        <w:rPr>
          <w:color w:val="000000" w:themeColor="text1"/>
          <w:u w:color="000000" w:themeColor="text1"/>
        </w:rPr>
        <w:tab/>
        <w:t>This act takes effect upon approval by the Governor.</w:t>
      </w:r>
    </w:p>
    <w:p w:rsidR="00B4369D" w:rsidRDefault="00B32A80" w:rsidP="00690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5F58" w:rsidRDefault="00CD5F58" w:rsidP="00CD5F58">
      <w:pPr>
        <w:suppressAutoHyphens/>
      </w:pPr>
    </w:p>
    <w:sectPr w:rsidR="00CD5F58" w:rsidSect="00CD5F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7434" w:rsidRDefault="00857434" w:rsidP="009F0C77">
      <w:r>
        <w:separator/>
      </w:r>
    </w:p>
  </w:endnote>
  <w:endnote w:type="continuationSeparator" w:id="0">
    <w:p w:rsidR="00857434" w:rsidRDefault="008574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7384D5-F390-4868-9C59-E84B0F849433}"/>
    <w:embedBold r:id="rId2" w:fontKey="{AC200518-7137-4BBA-AC78-4EE3A5C7A202}"/>
  </w:font>
  <w:font w:name="Calibri">
    <w:panose1 w:val="020F0502020204030204"/>
    <w:charset w:val="00"/>
    <w:family w:val="swiss"/>
    <w:pitch w:val="variable"/>
    <w:sig w:usb0="E00002FF" w:usb1="4000ACFF" w:usb2="00000001" w:usb3="00000000" w:csb0="0000019F" w:csb1="00000000"/>
    <w:embedRegular r:id="rId3" w:fontKey="{FFCBFCCC-6527-4666-BAFD-046B0C85DC71}"/>
  </w:font>
  <w:font w:name="Segoe UI">
    <w:panose1 w:val="020B0502040204020203"/>
    <w:charset w:val="00"/>
    <w:family w:val="swiss"/>
    <w:pitch w:val="variable"/>
    <w:sig w:usb0="E10022FF" w:usb1="C000E47F" w:usb2="00000029" w:usb3="00000000" w:csb0="000001DF" w:csb1="00000000"/>
    <w:embedRegular r:id="rId4" w:fontKey="{13F303F9-8DE1-48D3-A71E-53840E86779E}"/>
  </w:font>
  <w:font w:name="Cambria">
    <w:panose1 w:val="02040503050406030204"/>
    <w:charset w:val="00"/>
    <w:family w:val="roman"/>
    <w:pitch w:val="variable"/>
    <w:sig w:usb0="E00002FF" w:usb1="400004FF" w:usb2="00000000" w:usb3="00000000" w:csb0="0000019F" w:csb1="00000000"/>
    <w:embedRegular r:id="rId5" w:fontKey="{7BD4F460-D075-4ABD-A56F-EE616F3CB8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69D" w:rsidRPr="00CD5F58" w:rsidRDefault="00CD5F58" w:rsidP="00CD5F58">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7434" w:rsidRDefault="00857434" w:rsidP="009F0C77">
      <w:r>
        <w:separator/>
      </w:r>
    </w:p>
  </w:footnote>
  <w:footnote w:type="continuationSeparator" w:id="0">
    <w:p w:rsidR="00857434" w:rsidRDefault="008574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38ZW16"/>
    <w:docVar w:name="CoverBillType" w:val="b"/>
    <w:docVar w:name="docpath" w:val="L:\Council\bills\GGS\22838ZW16.DOCX"/>
    <w:docVar w:name="dvBillNumber" w:val="5196"/>
    <w:docVar w:name="dvBillNumberPrefix" w:val="H. "/>
    <w:docVar w:name="dvOriginalBody" w:val="House"/>
    <w:docVar w:name="dvSteno" w:val="GGS"/>
    <w:docVar w:name="NameofBody" w:val="h"/>
    <w:docVar w:name="vgroup2" w:val="Council"/>
  </w:docVars>
  <w:rsids>
    <w:rsidRoot w:val="0085743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E9A"/>
    <w:rsid w:val="004403BD"/>
    <w:rsid w:val="00461441"/>
    <w:rsid w:val="004809EE"/>
    <w:rsid w:val="004E7D54"/>
    <w:rsid w:val="005273C6"/>
    <w:rsid w:val="00530A69"/>
    <w:rsid w:val="00545593"/>
    <w:rsid w:val="00577C6C"/>
    <w:rsid w:val="005C2FE2"/>
    <w:rsid w:val="005E2BC9"/>
    <w:rsid w:val="00605102"/>
    <w:rsid w:val="006215AA"/>
    <w:rsid w:val="00627BD0"/>
    <w:rsid w:val="00690AE1"/>
    <w:rsid w:val="006913C9"/>
    <w:rsid w:val="0069470D"/>
    <w:rsid w:val="00734F00"/>
    <w:rsid w:val="007A70AE"/>
    <w:rsid w:val="008362E8"/>
    <w:rsid w:val="0085743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32A80"/>
    <w:rsid w:val="00B412D4"/>
    <w:rsid w:val="00B4369D"/>
    <w:rsid w:val="00BE3C22"/>
    <w:rsid w:val="00C0345E"/>
    <w:rsid w:val="00C07473"/>
    <w:rsid w:val="00C3483A"/>
    <w:rsid w:val="00C74E9D"/>
    <w:rsid w:val="00C82FD3"/>
    <w:rsid w:val="00C92819"/>
    <w:rsid w:val="00CC6B7B"/>
    <w:rsid w:val="00CD2089"/>
    <w:rsid w:val="00CD5F58"/>
    <w:rsid w:val="00D5313A"/>
    <w:rsid w:val="00D73A67"/>
    <w:rsid w:val="00D857FE"/>
    <w:rsid w:val="00D970A9"/>
    <w:rsid w:val="00DF3845"/>
    <w:rsid w:val="00E41911"/>
    <w:rsid w:val="00E92EEF"/>
    <w:rsid w:val="00EF2368"/>
    <w:rsid w:val="00F24442"/>
    <w:rsid w:val="00F50AE3"/>
    <w:rsid w:val="00F656BA"/>
    <w:rsid w:val="00F67CF1"/>
    <w:rsid w:val="00F8271E"/>
    <w:rsid w:val="00F840F0"/>
    <w:rsid w:val="00FB0D0D"/>
    <w:rsid w:val="00FB43B4"/>
    <w:rsid w:val="00FC552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59F67-3ED3-41AF-8EA7-076BE0C5B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1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1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F022A-5956-438A-ADA4-52DB41812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97EE7AEF.dotm</Template>
  <TotalTime>0</TotalTime>
  <Pages>2</Pages>
  <Words>535</Words>
  <Characters>2847</Characters>
  <Application>Microsoft Office Word</Application>
  <DocSecurity>0</DocSecurity>
  <Lines>77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5196 Text of Previous Version (Apr. 12, 2016) - South Carolina Legislature Online</dc:title>
  <dc:creator>GloriaShackelford</dc:creator>
  <cp:lastModifiedBy>N Cumfer</cp:lastModifiedBy>
  <cp:revision>2</cp:revision>
  <cp:lastPrinted>2016-03-16T14:38:00Z</cp:lastPrinted>
  <dcterms:created xsi:type="dcterms:W3CDTF">2016-04-12T18:03:00Z</dcterms:created>
  <dcterms:modified xsi:type="dcterms:W3CDTF">2016-04-12T18:03:00Z</dcterms:modified>
</cp:coreProperties>
</file>