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548" w:rsidRDefault="007A3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A22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8B6ACE"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B6ACE">
        <w:rPr>
          <w:rFonts w:eastAsia="Times New Roman"/>
          <w:color w:val="000000" w:themeColor="text1"/>
          <w:u w:color="000000" w:themeColor="text1"/>
        </w:rPr>
        <w:t>TO AMEND SECTIONS 56</w:t>
      </w:r>
      <w:r w:rsidRPr="008B6ACE">
        <w:rPr>
          <w:rFonts w:eastAsia="Times New Roman"/>
          <w:color w:val="000000" w:themeColor="text1"/>
          <w:u w:color="000000" w:themeColor="text1"/>
        </w:rPr>
        <w:noBreakHyphen/>
        <w:t>1</w:t>
      </w:r>
      <w:r w:rsidRPr="008B6ACE">
        <w:rPr>
          <w:rFonts w:eastAsia="Times New Roman"/>
          <w:color w:val="000000" w:themeColor="text1"/>
          <w:u w:color="000000" w:themeColor="text1"/>
        </w:rPr>
        <w:noBreakHyphen/>
        <w:t>400(B) AND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2941(L), CODE OF LAWS OF SOUTH CAROLINA, 1976, RELATING TO IGNITION INTERLOCK DEVICES, SO AS TO PROVIDE THAT THE EMPLOYER’S VEHICLE WAIVER DOES NOT APPLY TO A PERSON CONVICTED OF A SECOND OR SUBSEQUENT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 AND TO AMEND SECTION 29</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2990(B), CODE OF LAWS OF SOUTH CAROLINA, 1976, RELATING TO THE SUSPENSION OF A PERSON’S DRIVER’S LICENSE FOR A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OR A LAW OF ANOTHER STATE THAT PROHIBITS A PERSON FROM DRIVING A MOTOR VEHICLE WHILE UNDER THE INFLUENCE OF ALCOHOL OR OTHER DRUGS, SO AS TO PROVIDE THAT ENTRY INTO AN ALCOHOL AND DRUG SAFETY ACTION PROGRAM’S SERVICES, IF THE SERVICES ARE NECESSARY, IS A MANDATORY REQUIREMENT FOR THE ISSUANCE OF AN IGNITION INTERLOCK RESTRICTED LICENSE.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lastRenderedPageBreak/>
        <w:t>SECTION</w:t>
      </w:r>
      <w:r w:rsidRPr="002F6BA4">
        <w:rPr>
          <w:rFonts w:eastAsia="Times New Roman"/>
          <w:color w:val="000000" w:themeColor="text1"/>
          <w:u w:color="000000" w:themeColor="text1"/>
        </w:rPr>
        <w:tab/>
        <w:t>1.</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1</w:t>
      </w:r>
      <w:r w:rsidRPr="002F6BA4">
        <w:rPr>
          <w:rFonts w:eastAsia="Times New Roman"/>
          <w:color w:val="000000" w:themeColor="text1"/>
          <w:u w:color="000000" w:themeColor="text1"/>
        </w:rPr>
        <w:noBreakHyphen/>
        <w:t>400(B)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(B)(1)</w:t>
      </w:r>
      <w:r w:rsidRPr="002F6BA4">
        <w:rPr>
          <w:color w:val="000000" w:themeColor="text1"/>
          <w:u w:color="000000" w:themeColor="text1"/>
        </w:rPr>
        <w:tab/>
        <w:t>A person who does not own a vehicle, as shown in the Department of Motor Vehicles’ records, and who certifies that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owner’s permission to have an ignition interlock device installed on a vehicle;</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person’s employer;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employer’s noncommercial vehicles that the person will be operating;</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employer’s vehicles;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person’s employer.</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Pr="002F6BA4">
        <w:rPr>
          <w:color w:val="000000" w:themeColor="text1"/>
          <w:u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employer’s vehicle pursuant to this subsection, the person shall have with the person a copy of the form specified by this subsection.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color w:val="000000" w:themeColor="text1"/>
          <w:u w:color="000000" w:themeColor="text1"/>
        </w:rPr>
        <w:lastRenderedPageBreak/>
        <w:tab/>
      </w:r>
      <w:r w:rsidRPr="002F6BA4">
        <w:rPr>
          <w:color w:val="000000" w:themeColor="text1"/>
          <w:u w:color="000000" w:themeColor="text1"/>
        </w:rPr>
        <w:tab/>
        <w:t>(5)</w:t>
      </w:r>
      <w:r w:rsidRPr="002F6BA4">
        <w:rPr>
          <w:color w:val="000000" w:themeColor="text1"/>
          <w:u w:color="000000" w:themeColor="text1"/>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2.</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5</w:t>
      </w:r>
      <w:r w:rsidRPr="002F6BA4">
        <w:rPr>
          <w:rFonts w:eastAsia="Times New Roman"/>
          <w:color w:val="000000" w:themeColor="text1"/>
          <w:u w:color="000000" w:themeColor="text1"/>
        </w:rPr>
        <w:noBreakHyphen/>
        <w:t>2941(L)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(L)(1)</w:t>
      </w:r>
      <w:r w:rsidRPr="002F6BA4">
        <w:rPr>
          <w:color w:val="000000" w:themeColor="text1"/>
          <w:u w:color="000000" w:themeColor="text1"/>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(2)</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(2)</w:t>
      </w:r>
      <w:r w:rsidRPr="002F6BA4">
        <w:rPr>
          <w:color w:val="000000" w:themeColor="text1"/>
          <w:u w:val="single" w:color="000000" w:themeColor="text1"/>
        </w:rPr>
        <w:t>(3)</w:t>
      </w:r>
      <w:r w:rsidRPr="002F6BA4">
        <w:rPr>
          <w:color w:val="000000" w:themeColor="text1"/>
          <w:u w:color="000000" w:themeColor="text1"/>
        </w:rPr>
        <w:tab/>
        <w:t>Whenever the person operates the employer’s vehicle pursuant to this subsection, the person shall have with the person a copy of the Department of Motor Vehicles’ form specified by Section 56</w:t>
      </w:r>
      <w:r w:rsidRPr="002F6BA4">
        <w:rPr>
          <w:color w:val="000000" w:themeColor="text1"/>
          <w:u w:color="000000" w:themeColor="text1"/>
        </w:rPr>
        <w:noBreakHyphen/>
        <w:t>1</w:t>
      </w:r>
      <w:r w:rsidRPr="002F6BA4">
        <w:rPr>
          <w:color w:val="000000" w:themeColor="text1"/>
          <w:u w:color="000000" w:themeColor="text1"/>
        </w:rPr>
        <w:noBreakHyphen/>
        <w:t>400(B).</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F6BA4">
        <w:rPr>
          <w:color w:val="000000" w:themeColor="text1"/>
          <w:u w:color="000000" w:themeColor="text1"/>
        </w:rPr>
        <w:lastRenderedPageBreak/>
        <w:tab/>
      </w:r>
      <w:r w:rsidRPr="002F6BA4">
        <w:rPr>
          <w:color w:val="000000" w:themeColor="text1"/>
          <w:u w:color="000000" w:themeColor="text1"/>
        </w:rPr>
        <w:tab/>
      </w:r>
      <w:r w:rsidRPr="002F6BA4">
        <w:rPr>
          <w:strike/>
          <w:color w:val="000000" w:themeColor="text1"/>
          <w:u w:color="000000" w:themeColor="text1"/>
        </w:rPr>
        <w:t>(3)</w:t>
      </w:r>
      <w:r w:rsidRPr="002F6BA4">
        <w:rPr>
          <w:color w:val="000000" w:themeColor="text1"/>
          <w:u w:val="single" w:color="000000" w:themeColor="text1"/>
        </w:rPr>
        <w:t>(4)</w:t>
      </w:r>
      <w:r w:rsidRPr="002F6BA4">
        <w:rPr>
          <w:color w:val="000000" w:themeColor="text1"/>
          <w:u w:color="000000" w:themeColor="text1"/>
        </w:rPr>
        <w:tab/>
        <w:t>This subsection will be construed in parallel with the requirements of Section 56</w:t>
      </w:r>
      <w:r w:rsidRPr="002F6BA4">
        <w:rPr>
          <w:color w:val="000000" w:themeColor="text1"/>
          <w:u w:color="000000" w:themeColor="text1"/>
        </w:rPr>
        <w:noBreakHyphen/>
        <w:t>1</w:t>
      </w:r>
      <w:r w:rsidRPr="002F6BA4">
        <w:rPr>
          <w:color w:val="000000" w:themeColor="text1"/>
          <w:u w:color="000000" w:themeColor="text1"/>
        </w:rPr>
        <w:noBreakHyphen/>
        <w:t>400(B). A waiver issued pursuant to this subsection will be subject to the same review and revocation as described in Section 56</w:t>
      </w:r>
      <w:r w:rsidRPr="002F6BA4">
        <w:rPr>
          <w:color w:val="000000" w:themeColor="text1"/>
          <w:u w:color="000000" w:themeColor="text1"/>
        </w:rPr>
        <w:noBreakHyphen/>
        <w:t>1</w:t>
      </w:r>
      <w:r w:rsidRPr="002F6BA4">
        <w:rPr>
          <w:color w:val="000000" w:themeColor="text1"/>
          <w:u w:color="000000" w:themeColor="text1"/>
        </w:rPr>
        <w:noBreakHyphen/>
        <w:t>400(B).</w:t>
      </w:r>
      <w:r w:rsidRPr="002F6BA4">
        <w:rPr>
          <w:rFonts w:eastAsia="Times New Roman"/>
          <w:color w:val="000000" w:themeColor="text1"/>
          <w:szCs w:val="24"/>
          <w:u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3</w:t>
      </w:r>
      <w:r>
        <w:rPr>
          <w:rFonts w:eastAsia="Times New Roman"/>
          <w:color w:val="000000" w:themeColor="text1"/>
          <w:u w:color="000000" w:themeColor="text1"/>
        </w:rPr>
        <w:t>.</w:t>
      </w:r>
      <w:r>
        <w:rPr>
          <w:rFonts w:eastAsia="Times New Roman"/>
          <w:color w:val="000000" w:themeColor="text1"/>
          <w:u w:color="000000" w:themeColor="text1"/>
        </w:rPr>
        <w:tab/>
      </w:r>
      <w:r w:rsidRPr="002F6BA4">
        <w:rPr>
          <w:rFonts w:eastAsia="Times New Roman"/>
          <w:color w:val="000000" w:themeColor="text1"/>
          <w:u w:color="000000" w:themeColor="text1"/>
        </w:rPr>
        <w:t>Section 56</w:t>
      </w:r>
      <w:r w:rsidRPr="002F6BA4">
        <w:rPr>
          <w:rFonts w:eastAsia="Times New Roman"/>
          <w:color w:val="000000" w:themeColor="text1"/>
          <w:u w:color="000000" w:themeColor="text1"/>
        </w:rPr>
        <w:noBreakHyphen/>
        <w:t>5</w:t>
      </w:r>
      <w:r w:rsidRPr="002F6BA4">
        <w:rPr>
          <w:rFonts w:eastAsia="Times New Roman"/>
          <w:color w:val="000000" w:themeColor="text1"/>
          <w:u w:color="000000" w:themeColor="text1"/>
        </w:rPr>
        <w:noBreakHyphen/>
        <w:t>2990(B)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22BA"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6BA4">
        <w:rPr>
          <w:rFonts w:eastAsia="Times New Roman"/>
          <w:color w:val="000000" w:themeColor="text1"/>
          <w:szCs w:val="24"/>
          <w:u w:color="000000" w:themeColor="text1"/>
        </w:rPr>
        <w:tab/>
        <w:t>“</w:t>
      </w:r>
      <w:r w:rsidR="00794110">
        <w:rPr>
          <w:color w:val="000000" w:themeColor="text1"/>
          <w:u w:color="000000" w:themeColor="text1"/>
        </w:rPr>
        <w:t>(B)</w:t>
      </w:r>
      <w:r w:rsidR="00794110">
        <w:rPr>
          <w:color w:val="000000" w:themeColor="text1"/>
          <w:u w:color="000000" w:themeColor="text1"/>
        </w:rPr>
        <w:tab/>
      </w:r>
      <w:r w:rsidRPr="002F6BA4">
        <w:rPr>
          <w:color w:val="000000" w:themeColor="text1"/>
          <w:u w:color="000000" w:themeColor="text1"/>
        </w:rPr>
        <w:t>A person whose license is suspended pursuant to this section, Section 56</w:t>
      </w:r>
      <w:r w:rsidRPr="002F6BA4">
        <w:rPr>
          <w:color w:val="000000" w:themeColor="text1"/>
          <w:u w:color="000000" w:themeColor="text1"/>
        </w:rPr>
        <w:noBreakHyphen/>
        <w:t>1</w:t>
      </w:r>
      <w:r w:rsidRPr="002F6BA4">
        <w:rPr>
          <w:color w:val="000000" w:themeColor="text1"/>
          <w:u w:color="000000" w:themeColor="text1"/>
        </w:rPr>
        <w:noBreakHyphen/>
        <w:t>286, Section 56</w:t>
      </w:r>
      <w:r w:rsidRPr="002F6BA4">
        <w:rPr>
          <w:color w:val="000000" w:themeColor="text1"/>
          <w:u w:color="000000" w:themeColor="text1"/>
        </w:rPr>
        <w:noBreakHyphen/>
        <w:t>5</w:t>
      </w:r>
      <w:r w:rsidRPr="002F6BA4">
        <w:rPr>
          <w:color w:val="000000" w:themeColor="text1"/>
          <w:u w:color="000000" w:themeColor="text1"/>
        </w:rPr>
        <w:noBreakHyphen/>
        <w:t>2945, or Section 56</w:t>
      </w:r>
      <w:r w:rsidRPr="002F6BA4">
        <w:rPr>
          <w:color w:val="000000" w:themeColor="text1"/>
          <w:u w:color="000000" w:themeColor="text1"/>
        </w:rPr>
        <w:noBreakHyphen/>
        <w:t>5</w:t>
      </w:r>
      <w:r w:rsidRPr="002F6BA4">
        <w:rPr>
          <w:color w:val="000000" w:themeColor="text1"/>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2F6BA4">
        <w:rPr>
          <w:color w:val="000000" w:themeColor="text1"/>
          <w:u w:color="000000" w:themeColor="text1"/>
        </w:rPr>
        <w:noBreakHyphen/>
        <w:t>ordered drug program may use the route restricted or special restricted driver’s license to attend the Alcohol and Drug Safety Action Program classes or court</w:t>
      </w:r>
      <w:r w:rsidRPr="002F6BA4">
        <w:rPr>
          <w:color w:val="000000" w:themeColor="text1"/>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person must be prepared and a plan of education or treatment, or both, must be developed for the person.  Entry into </w:t>
      </w:r>
      <w:r w:rsidRPr="002F6BA4">
        <w:rPr>
          <w:strike/>
          <w:color w:val="000000" w:themeColor="text1"/>
          <w:u w:color="000000" w:themeColor="text1"/>
        </w:rPr>
        <w:t>and successful completion of</w:t>
      </w:r>
      <w:r w:rsidRPr="002F6BA4">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and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Pr="00522CE0"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5B6C">
        <w:rPr>
          <w:rFonts w:eastAsia="Times New Roman"/>
        </w:rPr>
        <w:t>4</w:t>
      </w:r>
      <w:r>
        <w:rPr>
          <w:rFonts w:eastAsia="Times New Roman"/>
        </w:rPr>
        <w:t>.</w:t>
      </w:r>
      <w:r>
        <w:rPr>
          <w:rFonts w:eastAsia="Times New Roman"/>
        </w:rPr>
        <w:tab/>
        <w:t>This act takes effect upon approval by the Governor.</w:t>
      </w:r>
    </w:p>
    <w:p w:rsidR="007635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3548" w:rsidRDefault="007A3548" w:rsidP="007A3548">
      <w:pPr>
        <w:suppressAutoHyphens/>
        <w:jc w:val="both"/>
        <w:rPr>
          <w:rFonts w:eastAsia="Times New Roman"/>
        </w:rPr>
      </w:pPr>
    </w:p>
    <w:sectPr w:rsidR="007A3548" w:rsidSect="007A35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2BA" w:rsidRDefault="002A22BA" w:rsidP="00522CE0">
      <w:r>
        <w:separator/>
      </w:r>
    </w:p>
  </w:endnote>
  <w:endnote w:type="continuationSeparator" w:id="0">
    <w:p w:rsidR="002A22BA" w:rsidRDefault="002A22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2F1D64-D3A4-4855-9C98-D4A69B7AAAD1}"/>
    <w:embedBold r:id="rId2" w:fontKey="{01BD9520-02E1-46BC-8C63-6408C0250D79}"/>
  </w:font>
  <w:font w:name="Calibri">
    <w:panose1 w:val="020F0502020204030204"/>
    <w:charset w:val="00"/>
    <w:family w:val="swiss"/>
    <w:pitch w:val="variable"/>
    <w:sig w:usb0="E10002FF" w:usb1="4000ACFF" w:usb2="00000009" w:usb3="00000000" w:csb0="0000019F" w:csb1="00000000"/>
    <w:embedRegular r:id="rId3" w:fontKey="{559E9D5B-C8DF-4AF5-A089-8EAEED1BC133}"/>
  </w:font>
  <w:font w:name="Cambria">
    <w:panose1 w:val="02040503050406030204"/>
    <w:charset w:val="00"/>
    <w:family w:val="roman"/>
    <w:pitch w:val="variable"/>
    <w:sig w:usb0="E00002FF" w:usb1="400004FF" w:usb2="00000000" w:usb3="00000000" w:csb0="0000019F" w:csb1="00000000"/>
    <w:embedRegular r:id="rId4" w:fontKey="{2EEEF09C-2F92-47D6-B39A-7C4AEBDFE0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52E" w:rsidRPr="007A3548" w:rsidRDefault="007A3548" w:rsidP="007A3548">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2BA" w:rsidRDefault="002A22BA" w:rsidP="00522CE0">
      <w:r>
        <w:separator/>
      </w:r>
    </w:p>
  </w:footnote>
  <w:footnote w:type="continuationSeparator" w:id="0">
    <w:p w:rsidR="002A22BA" w:rsidRDefault="002A22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JJG"/>
    <w:docVar w:name="CoverAttorneyInitials" w:val="JJG"/>
    <w:docVar w:name="CoverAttorneyLastName" w:val="Gentry"/>
    <w:docVar w:name="CoverBillType" w:val="b"/>
    <w:docVar w:name="DraftFileName" w:val="JUD0061.JJG.DOCX"/>
    <w:docVar w:name="DraftStenoName" w:val="Knipp"/>
    <w:docVar w:name="dvBillNumber" w:val="590"/>
    <w:docVar w:name="dvBillNumberPrefix" w:val="S. "/>
    <w:docVar w:name="dvOriginalBody" w:val="Senate"/>
    <w:docVar w:name="fulldraftpath" w:val="L:\S-JUD\BILLS\L. Martin\JUD0061.JJG.DOCX"/>
    <w:docVar w:name="NameofBody" w:val="S"/>
    <w:docVar w:name="SenatorFolderName" w:val="L. Martin"/>
    <w:docVar w:name="VGROUP2" w:val="S-JUD"/>
  </w:docVars>
  <w:rsids>
    <w:rsidRoot w:val="002A22BA"/>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22BA"/>
    <w:rsid w:val="002C5896"/>
    <w:rsid w:val="00307C2B"/>
    <w:rsid w:val="0031409E"/>
    <w:rsid w:val="0032109A"/>
    <w:rsid w:val="0033316C"/>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E396D"/>
    <w:rsid w:val="00720D40"/>
    <w:rsid w:val="0073026D"/>
    <w:rsid w:val="007311B4"/>
    <w:rsid w:val="007318D4"/>
    <w:rsid w:val="00746551"/>
    <w:rsid w:val="0076352E"/>
    <w:rsid w:val="00765784"/>
    <w:rsid w:val="00794110"/>
    <w:rsid w:val="007A3548"/>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5B6C"/>
    <w:rsid w:val="00B945C5"/>
    <w:rsid w:val="00BA20EA"/>
    <w:rsid w:val="00BB754E"/>
    <w:rsid w:val="00BC0A56"/>
    <w:rsid w:val="00C15CAF"/>
    <w:rsid w:val="00C23348"/>
    <w:rsid w:val="00C6454A"/>
    <w:rsid w:val="00C74052"/>
    <w:rsid w:val="00CB187A"/>
    <w:rsid w:val="00CD1843"/>
    <w:rsid w:val="00CD7C71"/>
    <w:rsid w:val="00D1088B"/>
    <w:rsid w:val="00D156D2"/>
    <w:rsid w:val="00D77EC0"/>
    <w:rsid w:val="00D86943"/>
    <w:rsid w:val="00DA47B9"/>
    <w:rsid w:val="00DF7731"/>
    <w:rsid w:val="00E677A1"/>
    <w:rsid w:val="00E91E2F"/>
    <w:rsid w:val="00EA3546"/>
    <w:rsid w:val="00EB1AAC"/>
    <w:rsid w:val="00EB47AE"/>
    <w:rsid w:val="00EC34E1"/>
    <w:rsid w:val="00ED0AE1"/>
    <w:rsid w:val="00F0234A"/>
    <w:rsid w:val="00F3041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BCE51C9-361F-4F10-89BE-E9D5CE9D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8F5B5A25.dotm</Template>
  <TotalTime>0</TotalTime>
  <Pages>4</Pages>
  <Words>1314</Words>
  <Characters>6647</Characters>
  <Application>Microsoft Office Word</Application>
  <DocSecurity>0</DocSecurity>
  <Lines>163</Lines>
  <Paragraphs>28</Paragraphs>
  <ScaleCrop>false</ScaleCrop>
  <Company> </Company>
  <LinksUpToDate>false</LinksUpToDate>
  <CharactersWithSpaces>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590 Text of Previous Version (Mar. 24, 2015) - South Carolina Legislature Online</dc:title>
  <dc:subject/>
  <dc:creator>LindseyKnipp</dc:creator>
  <cp:keywords/>
  <dc:description/>
  <cp:lastModifiedBy>N Cumfer</cp:lastModifiedBy>
  <cp:revision>2</cp:revision>
  <dcterms:created xsi:type="dcterms:W3CDTF">2015-03-24T17:34:00Z</dcterms:created>
  <dcterms:modified xsi:type="dcterms:W3CDTF">2015-03-24T17:34:00Z</dcterms:modified>
</cp:coreProperties>
</file>