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lastRenderedPageBreak/>
        <w:t>SECTION</w:t>
      </w:r>
      <w:r w:rsidRPr="002F3C97">
        <w:rPr>
          <w:rFonts w:eastAsia="Times New Roman"/>
          <w:color w:val="000000" w:themeColor="text1"/>
          <w:u w:color="000000" w:themeColor="text1"/>
        </w:rPr>
        <w:tab/>
        <w:t>1.</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20(1)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w:t>
      </w:r>
      <w:r>
        <w:rPr>
          <w:color w:val="000000" w:themeColor="text1"/>
          <w:u w:color="000000" w:themeColor="text1"/>
        </w:rPr>
        <w:t>(1)</w:t>
      </w:r>
      <w:r>
        <w:rPr>
          <w:color w:val="000000" w:themeColor="text1"/>
          <w:u w:color="000000" w:themeColor="text1"/>
        </w:rPr>
        <w:tab/>
      </w:r>
      <w:r w:rsidRPr="002F3C97">
        <w:rPr>
          <w:color w:val="000000" w:themeColor="text1"/>
          <w:u w:color="000000" w:themeColor="text1"/>
        </w:rPr>
        <w:t xml:space="preserve">‘Child’ or ‘juvenile’ means a person less than </w:t>
      </w:r>
      <w:r w:rsidRPr="002F3C97">
        <w:rPr>
          <w:strike/>
          <w:color w:val="000000" w:themeColor="text1"/>
          <w:u w:val="single"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of age.  ‘Child’ or ‘juvenile’ does not mean a person </w:t>
      </w:r>
      <w:r w:rsidRPr="002F3C97">
        <w:rPr>
          <w:strike/>
          <w:color w:val="000000" w:themeColor="text1"/>
          <w:u w:color="000000" w:themeColor="text1"/>
        </w:rPr>
        <w:t>sixteen</w:t>
      </w:r>
      <w:r w:rsidRPr="002F3C97">
        <w:rPr>
          <w:color w:val="000000" w:themeColor="text1"/>
          <w:u w:color="000000" w:themeColor="text1"/>
        </w:rPr>
        <w:t xml:space="preserve"> </w:t>
      </w:r>
      <w:r w:rsidRPr="002F3C97">
        <w:rPr>
          <w:color w:val="000000" w:themeColor="text1"/>
          <w:u w:val="single" w:color="000000" w:themeColor="text1"/>
        </w:rPr>
        <w:t>seventeen</w:t>
      </w:r>
      <w:r w:rsidRPr="002F3C97">
        <w:rPr>
          <w:color w:val="000000" w:themeColor="text1"/>
          <w:u w:color="000000" w:themeColor="text1"/>
        </w:rPr>
        <w:t xml:space="preserve"> years of age or older who is charged with a </w:t>
      </w:r>
      <w:r w:rsidRPr="002F3C97">
        <w:rPr>
          <w:color w:val="000000" w:themeColor="text1"/>
          <w:u w:val="single" w:color="000000" w:themeColor="text1"/>
        </w:rPr>
        <w:t>violent</w:t>
      </w:r>
      <w:r w:rsidRPr="002F3C97">
        <w:rPr>
          <w:color w:val="000000" w:themeColor="text1"/>
          <w:u w:color="000000" w:themeColor="text1"/>
        </w:rPr>
        <w:t xml:space="preserve"> </w:t>
      </w:r>
      <w:r w:rsidRPr="002F3C97">
        <w:rPr>
          <w:strike/>
          <w:color w:val="000000" w:themeColor="text1"/>
          <w:u w:color="000000" w:themeColor="text1"/>
        </w:rPr>
        <w:t>Class A, B, C, or D felony</w:t>
      </w:r>
      <w:r w:rsidRPr="002F3C97">
        <w:rPr>
          <w:color w:val="000000" w:themeColor="text1"/>
          <w:u w:color="000000" w:themeColor="text1"/>
        </w:rPr>
        <w:t xml:space="preserve"> </w:t>
      </w:r>
      <w:r w:rsidRPr="002F3C97">
        <w:rPr>
          <w:color w:val="000000" w:themeColor="text1"/>
          <w:u w:val="single" w:color="000000" w:themeColor="text1"/>
        </w:rPr>
        <w:t>crime</w:t>
      </w:r>
      <w:r w:rsidRPr="002F3C97">
        <w:rPr>
          <w:color w:val="000000" w:themeColor="text1"/>
          <w:u w:color="000000" w:themeColor="text1"/>
        </w:rPr>
        <w:t xml:space="preserve"> as defined in Section </w:t>
      </w:r>
      <w:r w:rsidRPr="002F3C97">
        <w:rPr>
          <w:strike/>
          <w:color w:val="000000" w:themeColor="text1"/>
          <w:u w:color="000000" w:themeColor="text1"/>
        </w:rPr>
        <w:t>16</w:t>
      </w:r>
      <w:r w:rsidRPr="002F3C97">
        <w:rPr>
          <w:strike/>
          <w:color w:val="000000" w:themeColor="text1"/>
          <w:u w:color="000000" w:themeColor="text1"/>
        </w:rPr>
        <w:noBreakHyphen/>
        <w:t>1</w:t>
      </w:r>
      <w:r w:rsidRPr="002F3C97">
        <w:rPr>
          <w:strike/>
          <w:color w:val="000000" w:themeColor="text1"/>
          <w:u w:color="000000" w:themeColor="text1"/>
        </w:rPr>
        <w:noBreakHyphen/>
        <w:t>2 or a felony which provides for a maximum term of imprisonment of fifteen years or more</w:t>
      </w:r>
      <w:r w:rsidRPr="002F3C97">
        <w:rPr>
          <w:color w:val="000000" w:themeColor="text1"/>
          <w:u w:color="000000" w:themeColor="text1"/>
        </w:rPr>
        <w:t xml:space="preserve"> </w:t>
      </w:r>
      <w:r w:rsidRPr="002F3C97">
        <w:rPr>
          <w:color w:val="000000" w:themeColor="text1"/>
          <w:u w:val="single" w:color="000000" w:themeColor="text1"/>
        </w:rPr>
        <w:t>16</w:t>
      </w:r>
      <w:r w:rsidRPr="002F3C97">
        <w:rPr>
          <w:color w:val="000000" w:themeColor="text1"/>
          <w:u w:val="single" w:color="000000" w:themeColor="text1"/>
        </w:rPr>
        <w:noBreakHyphen/>
        <w:t>1</w:t>
      </w:r>
      <w:r w:rsidRPr="002F3C97">
        <w:rPr>
          <w:color w:val="000000" w:themeColor="text1"/>
          <w:u w:val="single" w:color="000000" w:themeColor="text1"/>
        </w:rPr>
        <w:noBreakHyphen/>
        <w:t>60</w:t>
      </w:r>
      <w:r w:rsidRPr="002F3C97">
        <w:rPr>
          <w:color w:val="000000" w:themeColor="text1"/>
          <w:u w:color="000000" w:themeColor="text1"/>
        </w:rPr>
        <w:t>.  However, a person sixteen years of age who is charged with a Class A, B, C, or D felony as defined in Section 16</w:t>
      </w:r>
      <w:r w:rsidRPr="002F3C97">
        <w:rPr>
          <w:color w:val="000000" w:themeColor="text1"/>
          <w:u w:color="000000" w:themeColor="text1"/>
        </w:rPr>
        <w:noBreakHyphen/>
        <w:t>1</w:t>
      </w:r>
      <w:r w:rsidRPr="002F3C97">
        <w:rPr>
          <w:color w:val="000000" w:themeColor="text1"/>
          <w:u w:color="000000" w:themeColor="text1"/>
        </w:rPr>
        <w:noBreakHyphen/>
        <w:t xml:space="preserve">20 or a felony which provides for a maximum term of imprisonment of fifteen years or more </w:t>
      </w:r>
      <w:r w:rsidRPr="002F3C97">
        <w:rPr>
          <w:strike/>
          <w:color w:val="000000" w:themeColor="text1"/>
          <w:u w:color="000000" w:themeColor="text1"/>
        </w:rPr>
        <w:t>may be</w:t>
      </w:r>
      <w:r w:rsidRPr="002F3C97">
        <w:rPr>
          <w:color w:val="000000" w:themeColor="text1"/>
          <w:u w:color="000000" w:themeColor="text1"/>
        </w:rPr>
        <w:t xml:space="preserve"> </w:t>
      </w:r>
      <w:r w:rsidRPr="002F3C97">
        <w:rPr>
          <w:color w:val="000000" w:themeColor="text1"/>
          <w:u w:val="single" w:color="000000" w:themeColor="text1"/>
        </w:rPr>
        <w:t>must be provided the right to have the case</w:t>
      </w:r>
      <w:r w:rsidRPr="002F3C97">
        <w:rPr>
          <w:color w:val="000000" w:themeColor="text1"/>
          <w:u w:color="000000" w:themeColor="text1"/>
        </w:rPr>
        <w:t xml:space="preserve"> remanded to the family court for disposition of the charge </w:t>
      </w:r>
      <w:r w:rsidRPr="002F3C97">
        <w:rPr>
          <w:strike/>
          <w:color w:val="000000" w:themeColor="text1"/>
          <w:u w:color="000000" w:themeColor="text1"/>
        </w:rPr>
        <w:t>at the discretion of the solicitor</w:t>
      </w:r>
      <w:r w:rsidRPr="002F3C97">
        <w:rPr>
          <w:color w:val="000000" w:themeColor="text1"/>
          <w:u w:color="000000" w:themeColor="text1"/>
        </w:rPr>
        <w:t xml:space="preserve">. </w:t>
      </w:r>
      <w:r w:rsidR="00CD0BE8">
        <w:rPr>
          <w:color w:val="000000" w:themeColor="text1"/>
          <w:u w:color="000000" w:themeColor="text1"/>
        </w:rPr>
        <w:t xml:space="preserve"> </w:t>
      </w:r>
      <w:r w:rsidRPr="002F3C97">
        <w:rPr>
          <w:color w:val="000000" w:themeColor="text1"/>
          <w:u w:color="000000" w:themeColor="text1"/>
        </w:rPr>
        <w:t>An additional or accompanying charge associated with the charges contained in this item must be heard by the court with jurisdiction over the offenses contained in this item.”</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2.</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1210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 xml:space="preserve">1210.  </w:t>
      </w:r>
      <w:r w:rsidRPr="002F3C97">
        <w:rPr>
          <w:color w:val="000000" w:themeColor="text1"/>
          <w:u w:color="000000" w:themeColor="text1"/>
        </w:rPr>
        <w:t>In accordance with the jurisdiction granted to the family court pursuant to Sections 63</w:t>
      </w:r>
      <w:r w:rsidRPr="002F3C97">
        <w:rPr>
          <w:color w:val="000000" w:themeColor="text1"/>
          <w:u w:color="000000" w:themeColor="text1"/>
        </w:rPr>
        <w:noBreakHyphen/>
        <w:t>3</w:t>
      </w:r>
      <w:r w:rsidRPr="002F3C97">
        <w:rPr>
          <w:color w:val="000000" w:themeColor="text1"/>
          <w:u w:color="000000" w:themeColor="text1"/>
        </w:rPr>
        <w:noBreakHyphen/>
        <w:t>510, 63</w:t>
      </w:r>
      <w:r w:rsidRPr="002F3C97">
        <w:rPr>
          <w:color w:val="000000" w:themeColor="text1"/>
          <w:u w:color="000000" w:themeColor="text1"/>
        </w:rPr>
        <w:noBreakHyphen/>
        <w:t>3</w:t>
      </w:r>
      <w:r w:rsidRPr="002F3C97">
        <w:rPr>
          <w:color w:val="000000" w:themeColor="text1"/>
          <w:u w:color="000000" w:themeColor="text1"/>
        </w:rPr>
        <w:noBreakHyphen/>
        <w:t>520, and 63</w:t>
      </w:r>
      <w:r w:rsidRPr="002F3C97">
        <w:rPr>
          <w:color w:val="000000" w:themeColor="text1"/>
          <w:u w:color="000000" w:themeColor="text1"/>
        </w:rPr>
        <w:noBreakHyphen/>
        <w:t>3</w:t>
      </w:r>
      <w:r w:rsidRPr="002F3C97">
        <w:rPr>
          <w:color w:val="000000" w:themeColor="text1"/>
          <w:u w:color="000000" w:themeColor="text1"/>
        </w:rPr>
        <w:noBreakHyphen/>
        <w:t>530, jurisdiction over a case involving a child must be transferred or retained as follows:</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F3C97">
        <w:rPr>
          <w:color w:val="000000" w:themeColor="text1"/>
          <w:u w:color="000000" w:themeColor="text1"/>
        </w:rPr>
        <w:t>If, during the pendency of a criminal or quasi</w:t>
      </w:r>
      <w:r w:rsidRPr="002F3C97">
        <w:rPr>
          <w:color w:val="000000" w:themeColor="text1"/>
          <w:u w:color="000000" w:themeColor="text1"/>
        </w:rPr>
        <w:noBreakHyphen/>
        <w:t xml:space="preserve">criminal charge against a child in a circuit court of this State, it is ascertained that the child was under the age of </w:t>
      </w:r>
      <w:r w:rsidRPr="002F3C97">
        <w:rPr>
          <w:strike/>
          <w:color w:val="000000" w:themeColor="text1"/>
          <w:u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sidR="00CD0BE8">
        <w:rPr>
          <w:color w:val="000000" w:themeColor="text1"/>
          <w:u w:color="000000" w:themeColor="text1"/>
        </w:rPr>
        <w:t xml:space="preserve"> </w:t>
      </w:r>
      <w:r w:rsidRPr="002F3C97">
        <w:rPr>
          <w:color w:val="000000" w:themeColor="text1"/>
          <w:u w:color="000000" w:themeColor="text1"/>
        </w:rPr>
        <w:t>The court making the transfer shall order the child to be taken immediately to the place of detention designated by the court or to that court itself, or shall release the child to the custody of some suitable person to be brought before the court at a time designated.</w:t>
      </w:r>
      <w:r w:rsidR="00CD0BE8">
        <w:rPr>
          <w:color w:val="000000" w:themeColor="text1"/>
          <w:u w:color="000000" w:themeColor="text1"/>
        </w:rPr>
        <w:t xml:space="preserve"> </w:t>
      </w:r>
      <w:r w:rsidRPr="002F3C97">
        <w:rPr>
          <w:color w:val="000000" w:themeColor="text1"/>
          <w:u w:color="000000" w:themeColor="text1"/>
        </w:rPr>
        <w:t xml:space="preserve"> The court then shall proceed as provided in this chapter.</w:t>
      </w:r>
      <w:r w:rsidR="00CD0BE8">
        <w:rPr>
          <w:color w:val="000000" w:themeColor="text1"/>
          <w:u w:color="000000" w:themeColor="text1"/>
        </w:rPr>
        <w:t xml:space="preserve"> </w:t>
      </w:r>
      <w:r w:rsidRPr="002F3C97">
        <w:rPr>
          <w:color w:val="000000" w:themeColor="text1"/>
          <w:u w:color="000000" w:themeColor="text1"/>
        </w:rPr>
        <w:t xml:space="preserve"> The provisions of this section are applicable to all existing offenses and to offenses created in the future unless the General Assembly specifically directs otherwise.</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C25D6F" w:rsidRPr="002F3C97">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(3</w:t>
      </w:r>
      <w:r w:rsidR="003E7283">
        <w:rPr>
          <w:color w:val="000000" w:themeColor="text1"/>
          <w:u w:color="000000" w:themeColor="text1"/>
        </w:rPr>
        <w:t>)</w:t>
      </w:r>
      <w:r w:rsidR="003E7283">
        <w:rPr>
          <w:color w:val="000000" w:themeColor="text1"/>
          <w:u w:color="000000" w:themeColor="text1"/>
        </w:rPr>
        <w:tab/>
      </w:r>
      <w:r w:rsidRPr="002F3C97">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(4)</w:t>
      </w:r>
      <w:r w:rsidR="003E7283">
        <w:rPr>
          <w:color w:val="000000" w:themeColor="text1"/>
          <w:u w:color="000000" w:themeColor="text1"/>
        </w:rPr>
        <w:tab/>
      </w:r>
      <w:r w:rsidRPr="002F3C97">
        <w:rPr>
          <w:color w:val="000000" w:themeColor="text1"/>
          <w:u w:color="000000" w:themeColor="text1"/>
        </w:rPr>
        <w:t>If a child sixteen years of age or older is charged with an offense which, if committed by an adult, would be a misdemeanor, a Class E or F felony as defined in Section 16</w:t>
      </w:r>
      <w:r w:rsidRPr="002F3C97">
        <w:rPr>
          <w:color w:val="000000" w:themeColor="text1"/>
          <w:u w:color="000000" w:themeColor="text1"/>
        </w:rPr>
        <w:noBreakHyphen/>
        <w:t>1</w:t>
      </w:r>
      <w:r w:rsidRPr="002F3C97">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or fifteen years</w:t>
      </w:r>
      <w:r w:rsidR="00C25D6F" w:rsidRPr="002F3C97">
        <w:rPr>
          <w:color w:val="000000" w:themeColor="text1"/>
          <w:u w:color="000000" w:themeColor="text1"/>
        </w:rPr>
        <w:t xml:space="preserve"> </w:t>
      </w:r>
      <w:r w:rsidR="00C25D6F" w:rsidRPr="002F3C97">
        <w:rPr>
          <w:color w:val="000000" w:themeColor="text1"/>
          <w:u w:val="single" w:color="000000" w:themeColor="text1"/>
        </w:rPr>
        <w:t>below eighteen years</w:t>
      </w:r>
      <w:r w:rsidR="00C25D6F" w:rsidRPr="003E7283">
        <w:rPr>
          <w:color w:val="000000" w:themeColor="text1"/>
          <w:u w:color="000000" w:themeColor="text1"/>
        </w:rPr>
        <w:t xml:space="preserve"> of</w:t>
      </w:r>
      <w:r w:rsidR="00C25D6F" w:rsidRPr="002F3C97">
        <w:rPr>
          <w:color w:val="000000" w:themeColor="text1"/>
          <w:u w:color="000000" w:themeColor="text1"/>
        </w:rPr>
        <w:t xml:space="preserve"> age is charged with an offense which, if committed by an adult, would be a </w:t>
      </w:r>
      <w:r w:rsidR="00C25D6F" w:rsidRPr="002F3C97">
        <w:rPr>
          <w:strike/>
          <w:color w:val="000000" w:themeColor="text1"/>
          <w:u w:color="000000" w:themeColor="text1"/>
        </w:rPr>
        <w:t>Class A, B, C, or D felony</w:t>
      </w:r>
      <w:r w:rsidR="00C25D6F" w:rsidRPr="002F3C97">
        <w:rPr>
          <w:color w:val="000000" w:themeColor="text1"/>
          <w:u w:color="000000" w:themeColor="text1"/>
        </w:rPr>
        <w:t xml:space="preserve"> </w:t>
      </w:r>
      <w:r w:rsidR="00C25D6F" w:rsidRPr="002F3C97">
        <w:rPr>
          <w:color w:val="000000" w:themeColor="text1"/>
          <w:u w:val="single" w:color="000000" w:themeColor="text1"/>
        </w:rPr>
        <w:t>violent crime</w:t>
      </w:r>
      <w:r w:rsidR="00C25D6F" w:rsidRPr="002F3C97">
        <w:rPr>
          <w:color w:val="000000" w:themeColor="text1"/>
          <w:u w:color="000000" w:themeColor="text1"/>
        </w:rPr>
        <w:t xml:space="preserve"> as defined in Section </w:t>
      </w:r>
      <w:r w:rsidR="00C25D6F" w:rsidRPr="002F3C97">
        <w:rPr>
          <w:strike/>
          <w:color w:val="000000" w:themeColor="text1"/>
          <w:u w:color="000000" w:themeColor="text1"/>
        </w:rPr>
        <w:t>16</w:t>
      </w:r>
      <w:r w:rsidR="00C25D6F" w:rsidRPr="002F3C97">
        <w:rPr>
          <w:strike/>
          <w:color w:val="000000" w:themeColor="text1"/>
          <w:u w:color="000000" w:themeColor="text1"/>
        </w:rPr>
        <w:noBreakHyphen/>
        <w:t>1</w:t>
      </w:r>
      <w:r w:rsidR="00C25D6F" w:rsidRPr="002F3C97">
        <w:rPr>
          <w:strike/>
          <w:color w:val="000000" w:themeColor="text1"/>
          <w:u w:color="000000" w:themeColor="text1"/>
        </w:rPr>
        <w:noBreakHyphen/>
        <w:t>20 or a felony which provides for a maximum term of imprisonment of fifteen years or more</w:t>
      </w:r>
      <w:r w:rsidR="00C25D6F" w:rsidRPr="002F3C97">
        <w:rPr>
          <w:color w:val="000000" w:themeColor="text1"/>
          <w:u w:color="000000" w:themeColor="text1"/>
        </w:rPr>
        <w:t xml:space="preserve"> </w:t>
      </w:r>
      <w:r w:rsidR="00C25D6F" w:rsidRPr="002F3C97">
        <w:rPr>
          <w:color w:val="000000" w:themeColor="text1"/>
          <w:u w:val="single" w:color="000000" w:themeColor="text1"/>
        </w:rPr>
        <w:t>16</w:t>
      </w:r>
      <w:r w:rsidR="00C25D6F" w:rsidRPr="002F3C97">
        <w:rPr>
          <w:color w:val="000000" w:themeColor="text1"/>
          <w:u w:val="single" w:color="000000" w:themeColor="text1"/>
        </w:rPr>
        <w:noBreakHyphen/>
        <w:t>1</w:t>
      </w:r>
      <w:r w:rsidR="00C25D6F" w:rsidRPr="002F3C97">
        <w:rPr>
          <w:color w:val="000000" w:themeColor="text1"/>
          <w:u w:val="single" w:color="000000" w:themeColor="text1"/>
        </w:rPr>
        <w:noBreakHyphen/>
        <w:t>60</w:t>
      </w:r>
      <w:r w:rsidR="00C25D6F" w:rsidRPr="002F3C97">
        <w:rPr>
          <w:color w:val="000000" w:themeColor="text1"/>
          <w:u w:color="000000" w:themeColor="text1"/>
        </w:rPr>
        <w:t xml:space="preserve">, the court, after full investigation and hearing, may determine it contrary to the best interest of the child or of the public to retain jurisdiction. </w:t>
      </w:r>
      <w:r w:rsidR="00CD0BE8">
        <w:rPr>
          <w:color w:val="000000" w:themeColor="text1"/>
          <w:u w:color="000000" w:themeColor="text1"/>
        </w:rPr>
        <w:t xml:space="preserve"> </w:t>
      </w:r>
      <w:r w:rsidR="00C25D6F" w:rsidRPr="002F3C97">
        <w:rPr>
          <w:color w:val="000000" w:themeColor="text1"/>
          <w:u w:color="000000" w:themeColor="text1"/>
        </w:rPr>
        <w:t>The court, acting as committing magistrate, may bind over the child for proper criminal proceedings to a court which would have trial jurisdiction of the offenses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25D6F" w:rsidRPr="002F3C97">
        <w:rPr>
          <w:color w:val="000000" w:themeColor="text1"/>
          <w:u w:color="000000" w:themeColor="text1"/>
        </w:rPr>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w:t>
      </w:r>
      <w:r w:rsidR="00CD0BE8">
        <w:rPr>
          <w:color w:val="000000" w:themeColor="text1"/>
          <w:u w:color="000000" w:themeColor="text1"/>
        </w:rPr>
        <w:t xml:space="preserve"> </w:t>
      </w:r>
      <w:r w:rsidR="00C25D6F" w:rsidRPr="002F3C97">
        <w:rPr>
          <w:color w:val="000000" w:themeColor="text1"/>
          <w:u w:color="000000" w:themeColor="text1"/>
        </w:rPr>
        <w:t>The judge of the family court is authorized to determine this request.</w:t>
      </w:r>
      <w:r w:rsidR="00CD0BE8">
        <w:rPr>
          <w:color w:val="000000" w:themeColor="text1"/>
          <w:u w:color="000000" w:themeColor="text1"/>
        </w:rPr>
        <w:t xml:space="preserve"> </w:t>
      </w:r>
      <w:r w:rsidR="00C25D6F" w:rsidRPr="002F3C97">
        <w:rPr>
          <w:color w:val="000000" w:themeColor="text1"/>
          <w:u w:color="000000" w:themeColor="text1"/>
        </w:rPr>
        <w:t xml:space="preserve"> If the request is denied, the petitioner may appeal within five days to the circuit court. </w:t>
      </w:r>
      <w:r w:rsidR="00CD0BE8">
        <w:rPr>
          <w:color w:val="000000" w:themeColor="text1"/>
          <w:u w:color="000000" w:themeColor="text1"/>
        </w:rPr>
        <w:t xml:space="preserve"> </w:t>
      </w:r>
      <w:r w:rsidR="00C25D6F" w:rsidRPr="002F3C97">
        <w:rPr>
          <w:color w:val="000000" w:themeColor="text1"/>
          <w:u w:color="000000" w:themeColor="text1"/>
        </w:rPr>
        <w:t xml:space="preserve">Upon the hearing of the appeal, the judge of the circuit court is vested with the discretion of exercising and asserting the jurisdiction of the court of general sessions or of relinquishing jurisdiction to the family court. </w:t>
      </w:r>
      <w:r w:rsidR="00CD0BE8">
        <w:rPr>
          <w:color w:val="000000" w:themeColor="text1"/>
          <w:u w:color="000000" w:themeColor="text1"/>
        </w:rPr>
        <w:t xml:space="preserve"> </w:t>
      </w:r>
      <w:r w:rsidR="00C25D6F" w:rsidRPr="002F3C97">
        <w:rPr>
          <w:color w:val="000000" w:themeColor="text1"/>
          <w:u w:color="000000" w:themeColor="text1"/>
        </w:rPr>
        <w:t>If the circuit judge elects to exercise the jurisdiction of the general sessions court for trial of the case, he shall issue an order to that effect, and then the family court has no further jurisdiction in the matter.</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(7)</w:t>
      </w:r>
      <w:r w:rsidR="003E7283">
        <w:rPr>
          <w:color w:val="000000" w:themeColor="text1"/>
          <w:u w:color="000000" w:themeColor="text1"/>
        </w:rPr>
        <w:tab/>
      </w:r>
      <w:r w:rsidRPr="002F3C97">
        <w:rPr>
          <w:color w:val="000000" w:themeColor="text1"/>
          <w:u w:color="000000" w:themeColor="text1"/>
        </w:rPr>
        <w:t>Once the family court relinquishes its jurisdiction over the child and the child is bound over to be treated as an adult, Section 63</w:t>
      </w:r>
      <w:r w:rsidRPr="002F3C97">
        <w:rPr>
          <w:color w:val="000000" w:themeColor="text1"/>
          <w:u w:color="000000" w:themeColor="text1"/>
        </w:rPr>
        <w:noBreakHyphen/>
        <w:t>19</w:t>
      </w:r>
      <w:r w:rsidRPr="002F3C97">
        <w:rPr>
          <w:color w:val="000000" w:themeColor="text1"/>
          <w:u w:color="000000" w:themeColor="text1"/>
        </w:rPr>
        <w:noBreakHyphen/>
        <w:t>2020 dealing with the confidentiality of identity and fingerprints does not apply.</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C25D6F" w:rsidRPr="002F3C97">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years of age or older</w:t>
      </w:r>
      <w:r w:rsidR="00C25D6F" w:rsidRPr="002F3C97">
        <w:rPr>
          <w:color w:val="000000" w:themeColor="text1"/>
          <w:u w:color="000000" w:themeColor="text1"/>
        </w:rPr>
        <w:t xml:space="preserve"> </w:t>
      </w:r>
      <w:r w:rsidR="00C25D6F" w:rsidRPr="002F3C97">
        <w:rPr>
          <w:color w:val="000000" w:themeColor="text1"/>
          <w:u w:val="single" w:color="000000" w:themeColor="text1"/>
        </w:rPr>
        <w:t>under the age of eighteen</w:t>
      </w:r>
      <w:r w:rsidR="00C25D6F" w:rsidRPr="002F3C97">
        <w:rPr>
          <w:color w:val="000000" w:themeColor="text1"/>
          <w:u w:color="000000" w:themeColor="text1"/>
        </w:rPr>
        <w:t xml:space="preserve"> is charged with a violation of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430(1),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20, assault and battery of a high and aggravated nature, or Section 44</w:t>
      </w:r>
      <w:r w:rsidR="00C25D6F" w:rsidRPr="002F3C97">
        <w:rPr>
          <w:color w:val="000000" w:themeColor="text1"/>
          <w:u w:color="000000" w:themeColor="text1"/>
        </w:rPr>
        <w:noBreakHyphen/>
        <w:t>53</w:t>
      </w:r>
      <w:r w:rsidR="00C25D6F" w:rsidRPr="002F3C97">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r>
      <w:r w:rsidRPr="002F3C97">
        <w:rPr>
          <w:strike/>
          <w:color w:val="000000" w:themeColor="text1"/>
          <w:u w:color="000000" w:themeColor="text1"/>
        </w:rPr>
        <w:t>(10)</w:t>
      </w:r>
      <w:r w:rsidR="003E7283">
        <w:rPr>
          <w:color w:val="000000" w:themeColor="text1"/>
          <w:u w:color="000000" w:themeColor="text1"/>
        </w:rPr>
        <w:tab/>
      </w:r>
      <w:r w:rsidRPr="002F3C97">
        <w:rPr>
          <w:strike/>
          <w:color w:val="000000" w:themeColor="text1"/>
          <w:u w:color="000000" w:themeColor="text1"/>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acting as committing magistrate shall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w:t>
      </w:r>
      <w:r w:rsidRPr="002F3C97">
        <w:rPr>
          <w:color w:val="000000" w:themeColor="text1"/>
          <w:u w:color="000000" w:themeColor="text1"/>
        </w:rPr>
        <w:t xml:space="preserve">e </w:t>
      </w:r>
      <w:r w:rsidRPr="002F3C97">
        <w:rPr>
          <w:strike/>
          <w:color w:val="000000" w:themeColor="text1"/>
          <w:u w:color="000000" w:themeColor="text1"/>
        </w:rPr>
        <w:t>second offense occurred subsequent to the imposition of the sentence for the first offense.</w:t>
      </w:r>
      <w:r w:rsidRPr="002F3C97">
        <w:rPr>
          <w:color w:val="000000" w:themeColor="text1"/>
          <w:u w:color="000000" w:themeColor="text1"/>
        </w:rPr>
        <w: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6650" w:rsidRPr="00522CE0"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3.</w:t>
      </w:r>
      <w:r w:rsidRPr="002F3C97">
        <w:rPr>
          <w:rFonts w:eastAsia="Times New Roman"/>
          <w:color w:val="000000" w:themeColor="text1"/>
          <w:u w:color="000000" w:themeColor="text1"/>
        </w:rPr>
        <w:tab/>
        <w:t>This act takes effect upon approval by the Governor.</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AF9" w:rsidRDefault="004C3AF9" w:rsidP="004C3AF9">
      <w:pPr>
        <w:suppressAutoHyphens/>
        <w:jc w:val="both"/>
        <w:rPr>
          <w:rFonts w:eastAsia="Times New Roman"/>
        </w:rPr>
      </w:pPr>
    </w:p>
    <w:sectPr w:rsidR="004C3AF9" w:rsidSect="004C3A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D25E7-261B-4789-8D49-40A5A7D8AD91}"/>
    <w:embedBold r:id="rId2" w:fontKey="{C22108F5-7B04-41A4-8E2B-3355DBAA959B}"/>
  </w:font>
  <w:font w:name="Calibri">
    <w:panose1 w:val="020F0502020204030204"/>
    <w:charset w:val="00"/>
    <w:family w:val="swiss"/>
    <w:pitch w:val="variable"/>
    <w:sig w:usb0="E00002FF" w:usb1="4000ACFF" w:usb2="00000001" w:usb3="00000000" w:csb0="0000019F" w:csb1="00000000"/>
    <w:embedRegular r:id="rId3" w:fontKey="{1B1A8C13-DC1C-4BDB-9062-74E46A064C6D}"/>
  </w:font>
  <w:font w:name="Cambria">
    <w:panose1 w:val="02040503050406030204"/>
    <w:charset w:val="00"/>
    <w:family w:val="roman"/>
    <w:pitch w:val="variable"/>
    <w:sig w:usb0="E00002FF" w:usb1="400004FF" w:usb2="00000000" w:usb3="00000000" w:csb0="0000019F" w:csb1="00000000"/>
    <w:embedRegular r:id="rId4" w:fontKey="{0DE33471-7198-45C2-843F-97DC5408CC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6650"/>
    <w:rsid w:val="008314D2"/>
    <w:rsid w:val="008804AE"/>
    <w:rsid w:val="00894939"/>
    <w:rsid w:val="008B2F42"/>
    <w:rsid w:val="008E185F"/>
    <w:rsid w:val="008E5870"/>
    <w:rsid w:val="008F023B"/>
    <w:rsid w:val="008F7524"/>
    <w:rsid w:val="00904E1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74052"/>
    <w:rsid w:val="00CB187A"/>
    <w:rsid w:val="00CD0BE8"/>
    <w:rsid w:val="00CD1843"/>
    <w:rsid w:val="00CD7C71"/>
    <w:rsid w:val="00CE41BB"/>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1475</Words>
  <Characters>6979</Characters>
  <Application>Microsoft Office Word</Application>
  <DocSecurity>0</DocSecurity>
  <Lines>161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(Dec. 2, 2015) - South Carolina Legislature Online</dc:title>
  <dc:subject/>
  <dc:creator>LindseyKnipp</dc:creator>
  <cp:keywords/>
  <dc:description/>
  <cp:lastModifiedBy>N Cumfer</cp:lastModifiedBy>
  <cp:revision>2</cp:revision>
  <dcterms:created xsi:type="dcterms:W3CDTF">2015-12-02T20:44:00Z</dcterms:created>
  <dcterms:modified xsi:type="dcterms:W3CDTF">2015-12-02T20:44:00Z</dcterms:modified>
</cp:coreProperties>
</file>