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CB80EF" w14:textId="227CD77D" w:rsidR="00BB16F0" w:rsidRDefault="00BB16F0" w:rsidP="00BB16F0">
      <w:pPr>
        <w:widowControl w:val="0"/>
        <w:jc w:val="center"/>
      </w:pPr>
      <w:r w:rsidRPr="00BB16F0">
        <w:rPr>
          <w:b/>
        </w:rPr>
        <w:t>South Carolina General Assembly</w:t>
      </w:r>
    </w:p>
    <w:p w14:paraId="2A63888A" w14:textId="2931F513" w:rsidR="00BB16F0" w:rsidRDefault="00BB16F0" w:rsidP="00BB16F0">
      <w:pPr>
        <w:widowControl w:val="0"/>
        <w:jc w:val="center"/>
      </w:pPr>
      <w:r>
        <w:t>122nd Session, 2017-2018</w:t>
      </w:r>
    </w:p>
    <w:p w14:paraId="7C93A161" w14:textId="46A31161" w:rsidR="00BB16F0" w:rsidRDefault="00BB16F0" w:rsidP="00BB16F0">
      <w:pPr>
        <w:widowControl w:val="0"/>
      </w:pPr>
    </w:p>
    <w:p w14:paraId="78DE9BEA" w14:textId="65F1127A" w:rsidR="00BB16F0" w:rsidRDefault="00BB16F0" w:rsidP="00BB16F0">
      <w:pPr>
        <w:widowControl w:val="0"/>
        <w:rPr>
          <w:b/>
        </w:rPr>
      </w:pPr>
      <w:r w:rsidRPr="00BB16F0">
        <w:rPr>
          <w:b/>
        </w:rPr>
        <w:t>S.</w:t>
      </w:r>
      <w:r>
        <w:rPr>
          <w:b/>
        </w:rPr>
        <w:t xml:space="preserve"> </w:t>
      </w:r>
      <w:r w:rsidRPr="00BB16F0">
        <w:rPr>
          <w:b/>
        </w:rPr>
        <w:t>1145</w:t>
      </w:r>
    </w:p>
    <w:p w14:paraId="6C5EC662" w14:textId="0AED854E" w:rsidR="00BB16F0" w:rsidRDefault="00BB16F0" w:rsidP="00BB16F0">
      <w:pPr>
        <w:widowControl w:val="0"/>
        <w:rPr>
          <w:b/>
        </w:rPr>
      </w:pPr>
    </w:p>
    <w:p w14:paraId="551FC3CC" w14:textId="3269CE52" w:rsidR="00BB16F0" w:rsidRDefault="00BB16F0" w:rsidP="00BB16F0">
      <w:pPr>
        <w:widowControl w:val="0"/>
      </w:pPr>
      <w:r w:rsidRPr="00BB16F0">
        <w:rPr>
          <w:b/>
        </w:rPr>
        <w:t>STATUS INFORMATION</w:t>
      </w:r>
    </w:p>
    <w:p w14:paraId="201CEC38" w14:textId="109EDE50" w:rsidR="00BB16F0" w:rsidRDefault="00BB16F0" w:rsidP="00BB16F0">
      <w:pPr>
        <w:widowControl w:val="0"/>
      </w:pPr>
    </w:p>
    <w:p w14:paraId="39C35EDB" w14:textId="7A954B16" w:rsidR="00BB16F0" w:rsidRDefault="00BB16F0" w:rsidP="00BB16F0">
      <w:pPr>
        <w:widowControl w:val="0"/>
      </w:pPr>
      <w:r>
        <w:t>General Bill</w:t>
      </w:r>
    </w:p>
    <w:p w14:paraId="4C6E82CD" w14:textId="402E56C2" w:rsidR="00BB16F0" w:rsidRDefault="00BB16F0" w:rsidP="00BB16F0">
      <w:pPr>
        <w:widowControl w:val="0"/>
      </w:pPr>
      <w:r>
        <w:t>Sponsors: Senator Jackson</w:t>
      </w:r>
    </w:p>
    <w:p w14:paraId="4CC32765" w14:textId="7B2F1F6C" w:rsidR="00BB16F0" w:rsidRDefault="00BB16F0" w:rsidP="00BB16F0">
      <w:pPr>
        <w:widowControl w:val="0"/>
      </w:pPr>
      <w:r>
        <w:t>Document Path: l:\s-jud\bills\jackson\jud0083.pb.docx</w:t>
      </w:r>
    </w:p>
    <w:p w14:paraId="59D5622D" w14:textId="6A244092" w:rsidR="00BB16F0" w:rsidRDefault="00BB16F0" w:rsidP="00BB16F0">
      <w:pPr>
        <w:widowControl w:val="0"/>
      </w:pPr>
    </w:p>
    <w:p w14:paraId="46E3DD78" w14:textId="77777777" w:rsidR="00BB16F0" w:rsidRDefault="00BB16F0" w:rsidP="00BB16F0">
      <w:pPr>
        <w:widowControl w:val="0"/>
      </w:pPr>
      <w:r>
        <w:t>Introduced in the Senate on March 27, 2018</w:t>
      </w:r>
    </w:p>
    <w:p w14:paraId="4F0BD97A" w14:textId="41832DCC" w:rsidR="00BB16F0" w:rsidRDefault="00BB16F0" w:rsidP="00BB16F0">
      <w:pPr>
        <w:widowControl w:val="0"/>
      </w:pPr>
      <w:r>
        <w:t xml:space="preserve">Currently residing in the Senate Committee on </w:t>
      </w:r>
      <w:r w:rsidRPr="00BB16F0">
        <w:rPr>
          <w:b/>
        </w:rPr>
        <w:t>Judiciary</w:t>
      </w:r>
    </w:p>
    <w:p w14:paraId="6080B164" w14:textId="442231B4" w:rsidR="00BB16F0" w:rsidRDefault="00BB16F0" w:rsidP="00BB16F0">
      <w:pPr>
        <w:widowControl w:val="0"/>
      </w:pPr>
    </w:p>
    <w:p w14:paraId="6ED9A134" w14:textId="646E0E11" w:rsidR="00BB16F0" w:rsidRDefault="00BB16F0" w:rsidP="00BB16F0">
      <w:pPr>
        <w:widowControl w:val="0"/>
      </w:pPr>
      <w:r>
        <w:t xml:space="preserve">Summary: </w:t>
      </w:r>
      <w:r w:rsidR="005D675A">
        <w:t>Homeowners Associations</w:t>
      </w:r>
    </w:p>
    <w:p w14:paraId="051F6743" w14:textId="20C9358E" w:rsidR="00BB16F0" w:rsidRDefault="00BB16F0" w:rsidP="00BB16F0">
      <w:pPr>
        <w:widowControl w:val="0"/>
      </w:pPr>
    </w:p>
    <w:p w14:paraId="6218559C" w14:textId="5A993762" w:rsidR="00BB16F0" w:rsidRDefault="00BB16F0" w:rsidP="00BB16F0">
      <w:pPr>
        <w:widowControl w:val="0"/>
      </w:pPr>
    </w:p>
    <w:p w14:paraId="42EE9227" w14:textId="57F1DA7A" w:rsidR="00BB16F0" w:rsidRDefault="00BB16F0" w:rsidP="00BB16F0">
      <w:pPr>
        <w:widowControl w:val="0"/>
        <w:tabs>
          <w:tab w:val="center" w:pos="590"/>
          <w:tab w:val="center" w:pos="1440"/>
          <w:tab w:val="left" w:pos="1872"/>
          <w:tab w:val="left" w:pos="9187"/>
        </w:tabs>
      </w:pPr>
      <w:r w:rsidRPr="00BB16F0">
        <w:rPr>
          <w:b/>
        </w:rPr>
        <w:t>HISTORY OF LEGISLATIVE ACTIONS</w:t>
      </w:r>
    </w:p>
    <w:p w14:paraId="7457617E" w14:textId="5744238C" w:rsidR="00BB16F0" w:rsidRDefault="00BB16F0" w:rsidP="00BB16F0">
      <w:pPr>
        <w:widowControl w:val="0"/>
        <w:tabs>
          <w:tab w:val="center" w:pos="590"/>
          <w:tab w:val="center" w:pos="1440"/>
          <w:tab w:val="left" w:pos="1872"/>
          <w:tab w:val="left" w:pos="9187"/>
        </w:tabs>
      </w:pPr>
    </w:p>
    <w:p w14:paraId="6C14869A" w14:textId="6A7CAC7E" w:rsidR="00BB16F0" w:rsidRPr="00BB16F0" w:rsidRDefault="00BB16F0" w:rsidP="00BB16F0">
      <w:pPr>
        <w:widowControl w:val="0"/>
        <w:tabs>
          <w:tab w:val="center" w:pos="590"/>
          <w:tab w:val="center" w:pos="1440"/>
          <w:tab w:val="left" w:pos="1872"/>
          <w:tab w:val="left" w:pos="9187"/>
        </w:tabs>
      </w:pPr>
      <w:r w:rsidRPr="00BB16F0">
        <w:rPr>
          <w:u w:val="single"/>
        </w:rPr>
        <w:tab/>
        <w:t>Date</w:t>
      </w:r>
      <w:r w:rsidRPr="00BB16F0">
        <w:rPr>
          <w:u w:val="single"/>
        </w:rPr>
        <w:tab/>
        <w:t>Body</w:t>
      </w:r>
      <w:r w:rsidRPr="00BB16F0">
        <w:rPr>
          <w:u w:val="single"/>
        </w:rPr>
        <w:tab/>
        <w:t>Action Description with journal page number</w:t>
      </w:r>
      <w:r w:rsidRPr="00BB16F0">
        <w:rPr>
          <w:u w:val="single"/>
        </w:rPr>
        <w:tab/>
      </w:r>
    </w:p>
    <w:p w14:paraId="2C1A485B" w14:textId="77777777" w:rsidR="004D0DC4" w:rsidRDefault="004D0DC4" w:rsidP="004D0DC4">
      <w:pPr>
        <w:widowControl w:val="0"/>
        <w:tabs>
          <w:tab w:val="right" w:pos="1008"/>
          <w:tab w:val="left" w:pos="1152"/>
          <w:tab w:val="left" w:pos="1872"/>
          <w:tab w:val="left" w:pos="9187"/>
        </w:tabs>
        <w:ind w:left="2088" w:hanging="2088"/>
      </w:pPr>
      <w:r>
        <w:tab/>
        <w:t>3/27/2018</w:t>
      </w:r>
      <w:r>
        <w:tab/>
        <w:t>Senate</w:t>
      </w:r>
      <w:r>
        <w:tab/>
      </w:r>
      <w:r w:rsidRPr="009A30FD">
        <w:t>Introduced and read first time (</w:t>
      </w:r>
      <w:hyperlink r:id="rId6" w:history="1">
        <w:r w:rsidRPr="009A30FD">
          <w:rPr>
            <w:rStyle w:val="Hyperlink"/>
          </w:rPr>
          <w:t>Senate Journal</w:t>
        </w:r>
        <w:r w:rsidRPr="009A30FD">
          <w:rPr>
            <w:rStyle w:val="Hyperlink"/>
          </w:rPr>
          <w:noBreakHyphen/>
          <w:t>page 4</w:t>
        </w:r>
      </w:hyperlink>
      <w:r w:rsidRPr="009A30FD">
        <w:t>)</w:t>
      </w:r>
    </w:p>
    <w:p w14:paraId="0756953E" w14:textId="77777777" w:rsidR="004D0DC4" w:rsidRDefault="004D0DC4" w:rsidP="004D0DC4">
      <w:pPr>
        <w:widowControl w:val="0"/>
        <w:tabs>
          <w:tab w:val="right" w:pos="1008"/>
          <w:tab w:val="left" w:pos="1152"/>
          <w:tab w:val="left" w:pos="1872"/>
          <w:tab w:val="left" w:pos="9187"/>
        </w:tabs>
        <w:ind w:left="2088" w:hanging="2088"/>
      </w:pPr>
      <w:r>
        <w:tab/>
        <w:t>3/27/2018</w:t>
      </w:r>
      <w:r>
        <w:tab/>
        <w:t>Senate</w:t>
      </w:r>
      <w:r>
        <w:tab/>
      </w:r>
      <w:r w:rsidRPr="009A30FD">
        <w:t>Ref</w:t>
      </w:r>
      <w:r>
        <w:t xml:space="preserve">erred to Committee on </w:t>
      </w:r>
      <w:r w:rsidRPr="009A30FD">
        <w:rPr>
          <w:b/>
        </w:rPr>
        <w:t>Judiciary</w:t>
      </w:r>
      <w:r>
        <w:t xml:space="preserve"> </w:t>
      </w:r>
      <w:r w:rsidRPr="009A30FD">
        <w:t>(</w:t>
      </w:r>
      <w:hyperlink r:id="rId7" w:history="1">
        <w:r w:rsidRPr="009A30FD">
          <w:rPr>
            <w:rStyle w:val="Hyperlink"/>
          </w:rPr>
          <w:t>Senate Journal</w:t>
        </w:r>
        <w:r w:rsidRPr="009A30FD">
          <w:rPr>
            <w:rStyle w:val="Hyperlink"/>
          </w:rPr>
          <w:noBreakHyphen/>
          <w:t>page 4</w:t>
        </w:r>
      </w:hyperlink>
      <w:r w:rsidRPr="009A30FD">
        <w:t>)</w:t>
      </w:r>
    </w:p>
    <w:p w14:paraId="1FA81842" w14:textId="77777777" w:rsidR="004D0DC4" w:rsidRDefault="004D0DC4" w:rsidP="004D0DC4">
      <w:pPr>
        <w:widowControl w:val="0"/>
        <w:tabs>
          <w:tab w:val="right" w:pos="1008"/>
          <w:tab w:val="left" w:pos="1152"/>
          <w:tab w:val="left" w:pos="1872"/>
          <w:tab w:val="left" w:pos="9187"/>
        </w:tabs>
        <w:ind w:left="2088" w:hanging="2088"/>
      </w:pPr>
    </w:p>
    <w:p w14:paraId="5486A896" w14:textId="4074348C" w:rsidR="00BB16F0" w:rsidRDefault="00BB16F0" w:rsidP="00BB16F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B16F0">
          <w:rPr>
            <w:rStyle w:val="Hyperlink"/>
          </w:rPr>
          <w:t>legislative information</w:t>
        </w:r>
      </w:hyperlink>
      <w:r>
        <w:t xml:space="preserve"> at the website</w:t>
      </w:r>
    </w:p>
    <w:p w14:paraId="4510ADC2" w14:textId="2BE6CF95" w:rsidR="00BB16F0" w:rsidRDefault="00BB16F0" w:rsidP="00BB16F0">
      <w:pPr>
        <w:widowControl w:val="0"/>
        <w:tabs>
          <w:tab w:val="right" w:pos="1008"/>
          <w:tab w:val="left" w:pos="1152"/>
          <w:tab w:val="left" w:pos="1872"/>
          <w:tab w:val="left" w:pos="9187"/>
        </w:tabs>
        <w:ind w:left="2088" w:hanging="2088"/>
      </w:pPr>
    </w:p>
    <w:p w14:paraId="50B65461" w14:textId="77777777" w:rsidR="00BB16F0" w:rsidRPr="00BB16F0" w:rsidRDefault="00BB16F0" w:rsidP="00BB16F0">
      <w:pPr>
        <w:widowControl w:val="0"/>
        <w:tabs>
          <w:tab w:val="right" w:pos="1008"/>
          <w:tab w:val="left" w:pos="1152"/>
          <w:tab w:val="left" w:pos="1872"/>
          <w:tab w:val="left" w:pos="9187"/>
        </w:tabs>
        <w:ind w:left="2088" w:hanging="2088"/>
      </w:pPr>
    </w:p>
    <w:p w14:paraId="4E26CC94" w14:textId="2D7049F6" w:rsidR="00BB16F0" w:rsidRDefault="00BB16F0" w:rsidP="00BB16F0">
      <w:pPr>
        <w:widowControl w:val="0"/>
      </w:pPr>
      <w:r w:rsidRPr="00BB16F0">
        <w:rPr>
          <w:b/>
        </w:rPr>
        <w:t>VERSIONS OF THIS BILL</w:t>
      </w:r>
    </w:p>
    <w:p w14:paraId="47D23E74" w14:textId="67B2CB0B" w:rsidR="00BB16F0" w:rsidRDefault="00BB16F0" w:rsidP="00BB16F0">
      <w:pPr>
        <w:widowControl w:val="0"/>
      </w:pPr>
    </w:p>
    <w:p w14:paraId="51245C35" w14:textId="200C571B" w:rsidR="00BB16F0" w:rsidRDefault="00C25BD7" w:rsidP="00BB16F0">
      <w:pPr>
        <w:widowControl w:val="0"/>
      </w:pPr>
      <w:hyperlink r:id="rId9" w:history="1">
        <w:r w:rsidR="00BB16F0">
          <w:rPr>
            <w:rStyle w:val="Hyperlink"/>
          </w:rPr>
          <w:t>3/27/2018</w:t>
        </w:r>
      </w:hyperlink>
    </w:p>
    <w:p w14:paraId="452A8E0C" w14:textId="2BFB7547" w:rsidR="00BB16F0" w:rsidRDefault="00BB16F0" w:rsidP="00BB16F0"/>
    <w:p w14:paraId="68CEFFD4" w14:textId="77777777" w:rsidR="00BB16F0" w:rsidRDefault="00BB16F0" w:rsidP="00BB16F0">
      <w:pPr>
        <w:sectPr w:rsidR="00BB16F0" w:rsidSect="00BB16F0">
          <w:pgSz w:w="12240" w:h="15840" w:code="1"/>
          <w:pgMar w:top="1080" w:right="1440" w:bottom="1080" w:left="1440" w:header="720" w:footer="720" w:gutter="0"/>
          <w:cols w:space="720"/>
          <w:noEndnote/>
          <w:docGrid w:linePitch="360"/>
        </w:sectPr>
      </w:pPr>
    </w:p>
    <w:p w14:paraId="13C9391F" w14:textId="43A096F1" w:rsidR="00A34260" w:rsidRDefault="00A34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506F61"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CDDE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DF29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3B83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2D01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9A9C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722E5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69A682" w14:textId="77777777" w:rsidR="00522CE0" w:rsidRPr="008F023B" w:rsidRDefault="00522CE0" w:rsidP="00A34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B07F5">
        <w:rPr>
          <w:rFonts w:eastAsia="Times New Roman"/>
          <w:b/>
          <w:sz w:val="30"/>
          <w:szCs w:val="30"/>
        </w:rPr>
        <w:t>BILL</w:t>
      </w:r>
    </w:p>
    <w:p w14:paraId="5925CBD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094E92" w14:textId="77777777" w:rsidR="00522CE0" w:rsidRPr="00522CE0" w:rsidRDefault="009A0F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A0FCA">
        <w:rPr>
          <w:rFonts w:eastAsia="Times New Roman"/>
          <w:bCs/>
        </w:rPr>
        <w:t>TO AMEND THE CODE OF LAWS OF SOUTH CAROLINA, 1976, BY ADDING CHAPTER 34 TO TITLE 27 SO AS TO PROVIDE FOR LIENS FOR NONPAYMENT OF FEES, FINES, ASSESSMENTS, OR OTHER CHARGES OWED TO A HOMEOWNERS ASSOCIATION AND, AFTER THE EFFECTIVE DATE OF THIS ACT, TO PROHIBIT A HOMEOWNERS ASSOCIATION FROM FORECLOSING ON A LIEN IF THE LIEN IS SOLELY FOR NONPAYMENT OF FEES, FINES, ASSESSMENTS, OR OTHER CHANGES.</w:t>
      </w:r>
    </w:p>
    <w:p w14:paraId="7218069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EC28B21" w14:textId="77777777" w:rsidR="001B07F5" w:rsidRDefault="001B07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8603F97" w14:textId="77777777" w:rsidR="009A0FCA" w:rsidRPr="007F5C07"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F744C17" w14:textId="77777777" w:rsidR="009A0FCA" w:rsidRPr="007F5C07"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F5C07">
        <w:rPr>
          <w:rFonts w:eastAsia="Times New Roman"/>
          <w:color w:val="000000" w:themeColor="text1"/>
          <w:u w:color="000000" w:themeColor="text1"/>
        </w:rPr>
        <w:t>SECTION</w:t>
      </w:r>
      <w:r w:rsidRPr="007F5C07">
        <w:rPr>
          <w:rFonts w:eastAsia="Times New Roman"/>
          <w:color w:val="000000" w:themeColor="text1"/>
          <w:u w:color="000000" w:themeColor="text1"/>
        </w:rPr>
        <w:tab/>
        <w:t>1.</w:t>
      </w:r>
      <w:r w:rsidRPr="007F5C07">
        <w:rPr>
          <w:rFonts w:eastAsia="Times New Roman"/>
          <w:color w:val="000000" w:themeColor="text1"/>
          <w:u w:color="000000" w:themeColor="text1"/>
        </w:rPr>
        <w:tab/>
      </w:r>
      <w:r w:rsidRPr="007F5C07">
        <w:rPr>
          <w:color w:val="000000" w:themeColor="text1"/>
          <w:szCs w:val="24"/>
          <w:u w:color="000000" w:themeColor="text1"/>
        </w:rPr>
        <w:t xml:space="preserve">Title 27 of the 1976 Code is amended by adding: </w:t>
      </w:r>
    </w:p>
    <w:p w14:paraId="7B97C5B9" w14:textId="77777777" w:rsidR="009A0FCA" w:rsidRPr="007F5C07"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8895354" w14:textId="77777777" w:rsidR="009A0FCA" w:rsidRPr="007F5C07"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7F5C07">
        <w:rPr>
          <w:color w:val="000000" w:themeColor="text1"/>
          <w:szCs w:val="24"/>
          <w:u w:color="000000" w:themeColor="text1"/>
        </w:rPr>
        <w:t>”CHAPTER 34</w:t>
      </w:r>
    </w:p>
    <w:p w14:paraId="174E8094" w14:textId="77777777" w:rsidR="009A0FCA" w:rsidRPr="007F5C07"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14:paraId="39A7770C" w14:textId="77777777" w:rsidR="009A0FCA" w:rsidRPr="007F5C07"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7F5C07">
        <w:rPr>
          <w:color w:val="000000" w:themeColor="text1"/>
          <w:szCs w:val="24"/>
          <w:u w:color="000000" w:themeColor="text1"/>
        </w:rPr>
        <w:t>Homeowners Associations’ Liens and Foreclosures</w:t>
      </w:r>
    </w:p>
    <w:p w14:paraId="688ED38F" w14:textId="77777777" w:rsidR="009A0FCA" w:rsidRPr="007F5C07" w:rsidRDefault="009A0FCA" w:rsidP="009A0FC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u w:color="000000" w:themeColor="text1"/>
        </w:rPr>
      </w:pPr>
    </w:p>
    <w:p w14:paraId="4A570ABC" w14:textId="77777777" w:rsidR="009A0FCA" w:rsidRPr="007F5C07" w:rsidRDefault="009A0FCA" w:rsidP="009A0FC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u w:color="000000" w:themeColor="text1"/>
        </w:rPr>
      </w:pPr>
      <w:r w:rsidRPr="007F5C07">
        <w:rPr>
          <w:bCs/>
          <w:color w:val="000000" w:themeColor="text1"/>
          <w:sz w:val="22"/>
          <w:u w:color="000000" w:themeColor="text1"/>
        </w:rPr>
        <w:tab/>
        <w:t>Section 27</w:t>
      </w:r>
      <w:r w:rsidRPr="007F5C07">
        <w:rPr>
          <w:bCs/>
          <w:color w:val="000000" w:themeColor="text1"/>
          <w:sz w:val="22"/>
          <w:u w:color="000000" w:themeColor="text1"/>
        </w:rPr>
        <w:noBreakHyphen/>
        <w:t>34</w:t>
      </w:r>
      <w:r w:rsidRPr="007F5C07">
        <w:rPr>
          <w:bCs/>
          <w:color w:val="000000" w:themeColor="text1"/>
          <w:sz w:val="22"/>
          <w:u w:color="000000" w:themeColor="text1"/>
        </w:rPr>
        <w:noBreakHyphen/>
        <w:t>10.</w:t>
      </w:r>
      <w:r w:rsidRPr="007F5C07">
        <w:rPr>
          <w:bCs/>
          <w:color w:val="000000" w:themeColor="text1"/>
          <w:sz w:val="22"/>
          <w:u w:color="000000" w:themeColor="text1"/>
        </w:rPr>
        <w:tab/>
        <w:t>As used in this chapter:</w:t>
      </w:r>
    </w:p>
    <w:p w14:paraId="0843BCD2"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0396B">
        <w:rPr>
          <w:bCs/>
          <w:color w:val="000000" w:themeColor="text1"/>
          <w:szCs w:val="24"/>
          <w:u w:color="000000" w:themeColor="text1"/>
        </w:rPr>
        <w:tab/>
        <w:t>(1)</w:t>
      </w:r>
      <w:r w:rsidRPr="00F0396B">
        <w:rPr>
          <w:bCs/>
          <w:color w:val="000000" w:themeColor="text1"/>
          <w:szCs w:val="24"/>
          <w:u w:color="000000" w:themeColor="text1"/>
        </w:rPr>
        <w:tab/>
        <w:t>‘association’ means</w:t>
      </w:r>
      <w:r w:rsidRPr="00F0396B">
        <w:rPr>
          <w:color w:val="000000" w:themeColor="text1"/>
          <w:szCs w:val="24"/>
          <w:u w:color="000000" w:themeColor="text1"/>
        </w:rPr>
        <w:t xml:space="preserve"> an incorporated entity with:</w:t>
      </w:r>
    </w:p>
    <w:p w14:paraId="29AF74B2"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0396B">
        <w:rPr>
          <w:color w:val="000000" w:themeColor="text1"/>
          <w:szCs w:val="24"/>
          <w:u w:color="000000" w:themeColor="text1"/>
        </w:rPr>
        <w:tab/>
      </w:r>
      <w:r w:rsidRPr="00F0396B">
        <w:rPr>
          <w:color w:val="000000" w:themeColor="text1"/>
          <w:szCs w:val="24"/>
          <w:u w:color="000000" w:themeColor="text1"/>
        </w:rPr>
        <w:tab/>
        <w:t>(a)</w:t>
      </w:r>
      <w:r w:rsidRPr="00F0396B">
        <w:rPr>
          <w:color w:val="000000" w:themeColor="text1"/>
          <w:szCs w:val="24"/>
          <w:u w:color="000000" w:themeColor="text1"/>
        </w:rPr>
        <w:tab/>
        <w:t>the responsibility to manage and maintain a planned community or horizontal property regime; and</w:t>
      </w:r>
    </w:p>
    <w:p w14:paraId="4B1C912D"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0396B">
        <w:rPr>
          <w:color w:val="000000" w:themeColor="text1"/>
          <w:szCs w:val="24"/>
          <w:u w:color="000000" w:themeColor="text1"/>
        </w:rPr>
        <w:tab/>
      </w:r>
      <w:r w:rsidRPr="00F0396B">
        <w:rPr>
          <w:color w:val="000000" w:themeColor="text1"/>
          <w:szCs w:val="24"/>
          <w:u w:color="000000" w:themeColor="text1"/>
        </w:rPr>
        <w:tab/>
        <w:t>(b)</w:t>
      </w:r>
      <w:r w:rsidRPr="00F0396B">
        <w:rPr>
          <w:color w:val="000000" w:themeColor="text1"/>
          <w:szCs w:val="24"/>
          <w:u w:color="000000" w:themeColor="text1"/>
        </w:rPr>
        <w:tab/>
        <w:t>a voting membership of owners required by the governing documents to pay assessments to the association.</w:t>
      </w:r>
    </w:p>
    <w:p w14:paraId="21FA5440" w14:textId="77777777" w:rsidR="009A0FCA" w:rsidRPr="00F0396B" w:rsidRDefault="009A0FCA" w:rsidP="009A0FC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u w:color="000000" w:themeColor="text1"/>
        </w:rPr>
      </w:pPr>
      <w:r w:rsidRPr="00F0396B">
        <w:rPr>
          <w:color w:val="000000" w:themeColor="text1"/>
          <w:sz w:val="22"/>
          <w:u w:color="000000" w:themeColor="text1"/>
        </w:rPr>
        <w:tab/>
        <w:t xml:space="preserve">An ‘association’ does not include a vacation time sharing plan organized and subject only to the provisions of Chapter 32 of this title or a voluntary organization entered into by individual agreement that does not pass with the sale of the property and is not required by the deed, covenants, conditions, or restrictions upon property. </w:t>
      </w:r>
    </w:p>
    <w:p w14:paraId="1B7EDA1E" w14:textId="77777777" w:rsidR="009A0FCA" w:rsidRPr="00F0396B" w:rsidRDefault="009A0FCA" w:rsidP="009A0FC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u w:color="000000" w:themeColor="text1"/>
        </w:rPr>
      </w:pPr>
      <w:r w:rsidRPr="00F0396B">
        <w:rPr>
          <w:bCs/>
          <w:color w:val="000000" w:themeColor="text1"/>
          <w:sz w:val="22"/>
          <w:u w:color="000000" w:themeColor="text1"/>
        </w:rPr>
        <w:lastRenderedPageBreak/>
        <w:tab/>
        <w:t>(2)</w:t>
      </w:r>
      <w:r w:rsidRPr="00F0396B">
        <w:rPr>
          <w:bCs/>
          <w:color w:val="000000" w:themeColor="text1"/>
          <w:sz w:val="22"/>
          <w:u w:color="000000" w:themeColor="text1"/>
        </w:rPr>
        <w:tab/>
        <w:t xml:space="preserve">‘board’ means the representative body designated in the governing documents to govern and act on behalf of the association. </w:t>
      </w:r>
    </w:p>
    <w:p w14:paraId="6C827395" w14:textId="3315B114" w:rsidR="009A0FCA" w:rsidRPr="00F0396B" w:rsidRDefault="009A0FCA" w:rsidP="009A0FC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u w:color="000000" w:themeColor="text1"/>
        </w:rPr>
      </w:pPr>
      <w:r w:rsidRPr="00F0396B">
        <w:rPr>
          <w:bCs/>
          <w:color w:val="000000" w:themeColor="text1"/>
          <w:sz w:val="22"/>
          <w:u w:color="000000" w:themeColor="text1"/>
        </w:rPr>
        <w:tab/>
        <w:t>(3)</w:t>
      </w:r>
      <w:r w:rsidRPr="00F0396B">
        <w:rPr>
          <w:bCs/>
          <w:color w:val="000000" w:themeColor="text1"/>
          <w:sz w:val="22"/>
          <w:u w:color="000000" w:themeColor="text1"/>
        </w:rPr>
        <w:tab/>
        <w:t xml:space="preserve">‘homeowner’ means </w:t>
      </w:r>
      <w:r w:rsidR="00862D04">
        <w:rPr>
          <w:bCs/>
          <w:color w:val="000000" w:themeColor="text1"/>
          <w:sz w:val="22"/>
          <w:u w:color="000000" w:themeColor="text1"/>
        </w:rPr>
        <w:t xml:space="preserve">a </w:t>
      </w:r>
      <w:r w:rsidRPr="00F0396B">
        <w:rPr>
          <w:bCs/>
          <w:color w:val="000000" w:themeColor="text1"/>
          <w:sz w:val="22"/>
          <w:u w:color="000000" w:themeColor="text1"/>
        </w:rPr>
        <w:t>person who owns a unit in a homeowners association, but does not include a person having an interest in such a unit solely as security for an obligation.</w:t>
      </w:r>
    </w:p>
    <w:p w14:paraId="63990E4B" w14:textId="77777777" w:rsidR="009A0FCA" w:rsidRPr="00F0396B" w:rsidRDefault="009A0FCA" w:rsidP="009A0FC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u w:color="000000" w:themeColor="text1"/>
        </w:rPr>
      </w:pPr>
    </w:p>
    <w:p w14:paraId="01C63422"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0396B">
        <w:rPr>
          <w:bCs/>
          <w:color w:val="000000" w:themeColor="text1"/>
          <w:szCs w:val="24"/>
          <w:u w:color="000000" w:themeColor="text1"/>
        </w:rPr>
        <w:tab/>
        <w:t>Section 27</w:t>
      </w:r>
      <w:r w:rsidRPr="00F0396B">
        <w:rPr>
          <w:bCs/>
          <w:color w:val="000000" w:themeColor="text1"/>
          <w:szCs w:val="24"/>
          <w:u w:color="000000" w:themeColor="text1"/>
        </w:rPr>
        <w:noBreakHyphen/>
        <w:t>34</w:t>
      </w:r>
      <w:r w:rsidRPr="00F0396B">
        <w:rPr>
          <w:bCs/>
          <w:color w:val="000000" w:themeColor="text1"/>
          <w:szCs w:val="24"/>
          <w:u w:color="000000" w:themeColor="text1"/>
        </w:rPr>
        <w:noBreakHyphen/>
        <w:t>20.</w:t>
      </w:r>
      <w:r w:rsidRPr="00F0396B">
        <w:rPr>
          <w:rFonts w:eastAsia="Times New Roman"/>
          <w:color w:val="000000" w:themeColor="text1"/>
          <w:szCs w:val="24"/>
          <w:u w:color="000000" w:themeColor="text1"/>
        </w:rPr>
        <w:tab/>
        <w:t>(A)</w:t>
      </w:r>
      <w:r w:rsidRPr="00F0396B">
        <w:rPr>
          <w:rFonts w:eastAsia="Times New Roman"/>
          <w:color w:val="000000" w:themeColor="text1"/>
          <w:szCs w:val="24"/>
          <w:u w:color="000000" w:themeColor="text1"/>
        </w:rPr>
        <w:tab/>
        <w:t>A lien for nonpayment of fees, fines, assessments, or other charges owed to a homeowners association and filed in the official public records of a county is a legal instrument affecting title to real property.</w:t>
      </w:r>
    </w:p>
    <w:p w14:paraId="2BCAAA82"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0396B">
        <w:rPr>
          <w:rFonts w:eastAsia="Times New Roman"/>
          <w:color w:val="000000" w:themeColor="text1"/>
          <w:szCs w:val="24"/>
          <w:u w:color="000000" w:themeColor="text1"/>
        </w:rPr>
        <w:tab/>
        <w:t>(B)</w:t>
      </w:r>
      <w:r w:rsidRPr="00F0396B">
        <w:rPr>
          <w:rFonts w:eastAsia="Times New Roman"/>
          <w:color w:val="000000" w:themeColor="text1"/>
          <w:szCs w:val="24"/>
          <w:u w:color="000000" w:themeColor="text1"/>
        </w:rPr>
        <w:tab/>
        <w:t>After the effective date of this section,</w:t>
      </w:r>
    </w:p>
    <w:p w14:paraId="18FC12E0"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0396B">
        <w:rPr>
          <w:rFonts w:eastAsia="Times New Roman"/>
          <w:color w:val="000000" w:themeColor="text1"/>
          <w:szCs w:val="24"/>
          <w:u w:color="000000" w:themeColor="text1"/>
        </w:rPr>
        <w:tab/>
      </w:r>
      <w:r w:rsidRPr="00F0396B">
        <w:rPr>
          <w:rFonts w:eastAsia="Times New Roman"/>
          <w:color w:val="000000" w:themeColor="text1"/>
          <w:szCs w:val="24"/>
          <w:u w:color="000000" w:themeColor="text1"/>
        </w:rPr>
        <w:tab/>
        <w:t>(1)</w:t>
      </w:r>
      <w:r w:rsidRPr="00F0396B">
        <w:rPr>
          <w:rFonts w:eastAsia="Times New Roman"/>
          <w:color w:val="000000" w:themeColor="text1"/>
          <w:szCs w:val="24"/>
          <w:u w:color="000000" w:themeColor="text1"/>
        </w:rPr>
        <w:tab/>
        <w:t>a homeowners association is prohibited from foreclosing on a lien if the debt securing the lien consists solely of:</w:t>
      </w:r>
    </w:p>
    <w:p w14:paraId="196CD718"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0396B">
        <w:rPr>
          <w:rFonts w:eastAsia="Times New Roman"/>
          <w:color w:val="000000" w:themeColor="text1"/>
          <w:szCs w:val="24"/>
          <w:u w:color="000000" w:themeColor="text1"/>
        </w:rPr>
        <w:tab/>
      </w:r>
      <w:r w:rsidRPr="00F0396B">
        <w:rPr>
          <w:rFonts w:eastAsia="Times New Roman"/>
          <w:color w:val="000000" w:themeColor="text1"/>
          <w:szCs w:val="24"/>
          <w:u w:color="000000" w:themeColor="text1"/>
        </w:rPr>
        <w:tab/>
      </w:r>
      <w:r w:rsidRPr="00F0396B">
        <w:rPr>
          <w:rFonts w:eastAsia="Times New Roman"/>
          <w:color w:val="000000" w:themeColor="text1"/>
          <w:szCs w:val="24"/>
          <w:u w:color="000000" w:themeColor="text1"/>
        </w:rPr>
        <w:tab/>
        <w:t>(a)</w:t>
      </w:r>
      <w:r w:rsidRPr="00F0396B">
        <w:rPr>
          <w:rFonts w:eastAsia="Times New Roman"/>
          <w:color w:val="000000" w:themeColor="text1"/>
          <w:szCs w:val="24"/>
          <w:u w:color="000000" w:themeColor="text1"/>
        </w:rPr>
        <w:tab/>
        <w:t>nonpayment of fees, fines, assessments, or other charges; or</w:t>
      </w:r>
    </w:p>
    <w:p w14:paraId="7F8484A3"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0396B">
        <w:rPr>
          <w:rFonts w:eastAsia="Times New Roman"/>
          <w:color w:val="000000" w:themeColor="text1"/>
          <w:szCs w:val="24"/>
          <w:u w:color="000000" w:themeColor="text1"/>
        </w:rPr>
        <w:tab/>
      </w:r>
      <w:r w:rsidRPr="00F0396B">
        <w:rPr>
          <w:rFonts w:eastAsia="Times New Roman"/>
          <w:color w:val="000000" w:themeColor="text1"/>
          <w:szCs w:val="24"/>
          <w:u w:color="000000" w:themeColor="text1"/>
        </w:rPr>
        <w:tab/>
      </w:r>
      <w:r w:rsidRPr="00F0396B">
        <w:rPr>
          <w:rFonts w:eastAsia="Times New Roman"/>
          <w:color w:val="000000" w:themeColor="text1"/>
          <w:szCs w:val="24"/>
          <w:u w:color="000000" w:themeColor="text1"/>
        </w:rPr>
        <w:tab/>
        <w:t>(b)</w:t>
      </w:r>
      <w:r w:rsidRPr="00F0396B">
        <w:rPr>
          <w:rFonts w:eastAsia="Times New Roman"/>
          <w:color w:val="000000" w:themeColor="text1"/>
          <w:szCs w:val="24"/>
          <w:u w:color="000000" w:themeColor="text1"/>
        </w:rPr>
        <w:tab/>
        <w:t>attorney’s fees incurred by the homeowners association solely associated with fees, fines, assessments, and other charges by the association.</w:t>
      </w:r>
    </w:p>
    <w:p w14:paraId="19E16803"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0396B">
        <w:rPr>
          <w:rFonts w:eastAsia="Times New Roman"/>
          <w:color w:val="000000" w:themeColor="text1"/>
          <w:szCs w:val="24"/>
          <w:u w:color="000000" w:themeColor="text1"/>
        </w:rPr>
        <w:tab/>
      </w:r>
      <w:r w:rsidRPr="00F0396B">
        <w:rPr>
          <w:rFonts w:eastAsia="Times New Roman"/>
          <w:color w:val="000000" w:themeColor="text1"/>
          <w:szCs w:val="24"/>
          <w:u w:color="000000" w:themeColor="text1"/>
        </w:rPr>
        <w:tab/>
        <w:t>(2)</w:t>
      </w:r>
      <w:r w:rsidRPr="00F0396B">
        <w:rPr>
          <w:rFonts w:eastAsia="Times New Roman"/>
          <w:color w:val="000000" w:themeColor="text1"/>
          <w:szCs w:val="24"/>
          <w:u w:color="000000" w:themeColor="text1"/>
        </w:rPr>
        <w:tab/>
        <w:t>no association may foreclose against a homeowner on any lien without express authority granted by the declaration.</w:t>
      </w:r>
    </w:p>
    <w:p w14:paraId="77600C3C"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0396B">
        <w:rPr>
          <w:rFonts w:eastAsia="Times New Roman"/>
          <w:color w:val="000000" w:themeColor="text1"/>
          <w:szCs w:val="24"/>
          <w:u w:color="000000" w:themeColor="text1"/>
        </w:rPr>
        <w:tab/>
      </w:r>
      <w:r w:rsidRPr="00F0396B">
        <w:rPr>
          <w:rFonts w:eastAsia="Times New Roman"/>
          <w:color w:val="000000" w:themeColor="text1"/>
          <w:szCs w:val="24"/>
          <w:u w:color="000000" w:themeColor="text1"/>
        </w:rPr>
        <w:tab/>
      </w:r>
      <w:r w:rsidRPr="00F0396B">
        <w:rPr>
          <w:rFonts w:eastAsia="Times New Roman"/>
          <w:color w:val="000000" w:themeColor="text1"/>
          <w:szCs w:val="24"/>
          <w:u w:color="000000" w:themeColor="text1"/>
        </w:rPr>
        <w:tab/>
        <w:t>(a)</w:t>
      </w:r>
      <w:r w:rsidRPr="00F0396B">
        <w:rPr>
          <w:rFonts w:eastAsia="Times New Roman"/>
          <w:color w:val="000000" w:themeColor="text1"/>
          <w:szCs w:val="24"/>
          <w:u w:color="000000" w:themeColor="text1"/>
        </w:rPr>
        <w:tab/>
        <w:t>Foreclosure power cannot be added by amendment, except by a unanimous vote of all homeowners.</w:t>
      </w:r>
    </w:p>
    <w:p w14:paraId="3AC24F23"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0396B">
        <w:rPr>
          <w:rFonts w:eastAsia="Times New Roman"/>
          <w:color w:val="000000" w:themeColor="text1"/>
          <w:szCs w:val="24"/>
          <w:u w:color="000000" w:themeColor="text1"/>
        </w:rPr>
        <w:tab/>
      </w:r>
      <w:r w:rsidRPr="00F0396B">
        <w:rPr>
          <w:rFonts w:eastAsia="Times New Roman"/>
          <w:color w:val="000000" w:themeColor="text1"/>
          <w:szCs w:val="24"/>
          <w:u w:color="000000" w:themeColor="text1"/>
        </w:rPr>
        <w:tab/>
      </w:r>
      <w:r w:rsidRPr="00F0396B">
        <w:rPr>
          <w:rFonts w:eastAsia="Times New Roman"/>
          <w:color w:val="000000" w:themeColor="text1"/>
          <w:szCs w:val="24"/>
          <w:u w:color="000000" w:themeColor="text1"/>
        </w:rPr>
        <w:tab/>
        <w:t>(b)</w:t>
      </w:r>
      <w:r w:rsidRPr="00F0396B">
        <w:rPr>
          <w:rFonts w:eastAsia="Times New Roman"/>
          <w:color w:val="000000" w:themeColor="text1"/>
          <w:szCs w:val="24"/>
          <w:u w:color="000000" w:themeColor="text1"/>
        </w:rPr>
        <w:tab/>
        <w:t xml:space="preserve">A provision in the declaration granting a right to foreclose a lien on real property for unpaid amounts due to an association may be removed from a declaration by a vote of at least seventy percent of the total votes allocated to homeowners in the association. </w:t>
      </w:r>
      <w:r>
        <w:rPr>
          <w:rFonts w:eastAsia="Times New Roman"/>
          <w:color w:val="000000" w:themeColor="text1"/>
          <w:szCs w:val="24"/>
          <w:u w:color="000000" w:themeColor="text1"/>
        </w:rPr>
        <w:t xml:space="preserve"> </w:t>
      </w:r>
      <w:r w:rsidRPr="00F0396B">
        <w:rPr>
          <w:rFonts w:eastAsia="Times New Roman"/>
          <w:color w:val="000000" w:themeColor="text1"/>
          <w:szCs w:val="24"/>
          <w:u w:color="000000" w:themeColor="text1"/>
        </w:rPr>
        <w:t>Homeowners holding at least ten percent of all voting interests in the association may petition the association and require a special meeting to be called for the purposes of taking a vote pursuant to this subsection.</w:t>
      </w:r>
    </w:p>
    <w:p w14:paraId="4B62B693"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0396B">
        <w:rPr>
          <w:rFonts w:eastAsia="Times New Roman"/>
          <w:color w:val="000000" w:themeColor="text1"/>
          <w:szCs w:val="24"/>
          <w:u w:color="000000" w:themeColor="text1"/>
        </w:rPr>
        <w:tab/>
        <w:t>(C)</w:t>
      </w:r>
      <w:r w:rsidRPr="00F0396B">
        <w:rPr>
          <w:rFonts w:eastAsia="Times New Roman"/>
          <w:color w:val="000000" w:themeColor="text1"/>
          <w:szCs w:val="24"/>
          <w:u w:color="000000" w:themeColor="text1"/>
        </w:rPr>
        <w:tab/>
        <w:t>Notwithstanding the provisions of subsection (B), any lawfully recorded lien, including liens that do not themselves provide a suitable basis for foreclosure, may be enforced on conveyance of any interest in a home, including conveyance by otherwise proper foreclosure sale.</w:t>
      </w:r>
    </w:p>
    <w:p w14:paraId="2502FC79"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7E9C63FA" w14:textId="77777777" w:rsidR="009A0FCA" w:rsidRPr="00F0396B" w:rsidRDefault="009A0FCA" w:rsidP="009A0FC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0396B">
        <w:rPr>
          <w:bCs/>
          <w:color w:val="000000" w:themeColor="text1"/>
          <w:sz w:val="22"/>
          <w:u w:color="000000" w:themeColor="text1"/>
        </w:rPr>
        <w:tab/>
        <w:t>Section 27</w:t>
      </w:r>
      <w:r w:rsidRPr="00F0396B">
        <w:rPr>
          <w:bCs/>
          <w:color w:val="000000" w:themeColor="text1"/>
          <w:sz w:val="22"/>
          <w:u w:color="000000" w:themeColor="text1"/>
        </w:rPr>
        <w:noBreakHyphen/>
        <w:t>34</w:t>
      </w:r>
      <w:r w:rsidRPr="00F0396B">
        <w:rPr>
          <w:bCs/>
          <w:color w:val="000000" w:themeColor="text1"/>
          <w:sz w:val="22"/>
          <w:u w:color="000000" w:themeColor="text1"/>
        </w:rPr>
        <w:noBreakHyphen/>
        <w:t>30</w:t>
      </w:r>
      <w:r w:rsidRPr="00F0396B">
        <w:rPr>
          <w:bCs/>
          <w:color w:val="000000" w:themeColor="text1"/>
          <w:sz w:val="22"/>
          <w:u w:color="000000" w:themeColor="text1"/>
        </w:rPr>
        <w:tab/>
      </w:r>
      <w:r w:rsidRPr="00F0396B">
        <w:rPr>
          <w:color w:val="000000" w:themeColor="text1"/>
          <w:sz w:val="22"/>
          <w:u w:color="000000" w:themeColor="text1"/>
        </w:rPr>
        <w:t>Each association shall, in governing documents, establish rights to make payments that ensure the following:</w:t>
      </w:r>
    </w:p>
    <w:p w14:paraId="50B46C99" w14:textId="77777777" w:rsidR="009A0FCA" w:rsidRPr="00F0396B" w:rsidRDefault="009A0FCA" w:rsidP="009A0FC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0396B">
        <w:rPr>
          <w:color w:val="000000" w:themeColor="text1"/>
          <w:sz w:val="22"/>
          <w:u w:color="000000" w:themeColor="text1"/>
        </w:rPr>
        <w:tab/>
        <w:t>(1)</w:t>
      </w:r>
      <w:r w:rsidRPr="00F0396B">
        <w:rPr>
          <w:color w:val="000000" w:themeColor="text1"/>
          <w:sz w:val="22"/>
          <w:u w:color="000000" w:themeColor="text1"/>
        </w:rPr>
        <w:tab/>
        <w:t xml:space="preserve">Homeowners may at any time make full or partial payment on any amount due. </w:t>
      </w:r>
      <w:r>
        <w:rPr>
          <w:color w:val="000000" w:themeColor="text1"/>
          <w:sz w:val="22"/>
          <w:u w:color="000000" w:themeColor="text1"/>
        </w:rPr>
        <w:t xml:space="preserve"> </w:t>
      </w:r>
      <w:r w:rsidRPr="00F0396B">
        <w:rPr>
          <w:color w:val="000000" w:themeColor="text1"/>
          <w:sz w:val="22"/>
          <w:u w:color="000000" w:themeColor="text1"/>
        </w:rPr>
        <w:t>Any homeowner payment shall be credited first toward any past due assessment or other amount due to avoid foreclosure.</w:t>
      </w:r>
    </w:p>
    <w:p w14:paraId="34B7104F"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0396B">
        <w:rPr>
          <w:bCs/>
          <w:color w:val="000000" w:themeColor="text1"/>
          <w:szCs w:val="24"/>
          <w:u w:color="000000" w:themeColor="text1"/>
        </w:rPr>
        <w:tab/>
        <w:t>(2)</w:t>
      </w:r>
      <w:r w:rsidRPr="00F0396B">
        <w:rPr>
          <w:bCs/>
          <w:color w:val="000000" w:themeColor="text1"/>
          <w:szCs w:val="24"/>
          <w:u w:color="000000" w:themeColor="text1"/>
        </w:rPr>
        <w:tab/>
      </w:r>
      <w:r w:rsidRPr="00F0396B">
        <w:rPr>
          <w:color w:val="000000" w:themeColor="text1"/>
          <w:szCs w:val="24"/>
          <w:u w:color="000000" w:themeColor="text1"/>
        </w:rPr>
        <w:t xml:space="preserve">At least for homeowners who suffer job loss, disability, divorce, or family medical expenses, the association shall without penalty allow a homeowner thirty days after an assessment to propose an installment plan. </w:t>
      </w:r>
      <w:r>
        <w:rPr>
          <w:color w:val="000000" w:themeColor="text1"/>
          <w:szCs w:val="24"/>
          <w:u w:color="000000" w:themeColor="text1"/>
        </w:rPr>
        <w:t xml:space="preserve"> </w:t>
      </w:r>
      <w:r w:rsidRPr="00F0396B">
        <w:rPr>
          <w:color w:val="000000" w:themeColor="text1"/>
          <w:szCs w:val="24"/>
          <w:u w:color="000000" w:themeColor="text1"/>
        </w:rPr>
        <w:t>Upon receiving the homeowner’s installment proposal, the board shall designate a committee to meet with the homeowner privately, and the association shall provide a written response to the homeowner.</w:t>
      </w:r>
      <w:r>
        <w:rPr>
          <w:color w:val="000000" w:themeColor="text1"/>
          <w:szCs w:val="24"/>
          <w:u w:color="000000" w:themeColor="text1"/>
        </w:rPr>
        <w:t xml:space="preserve"> </w:t>
      </w:r>
      <w:r w:rsidRPr="00F0396B">
        <w:rPr>
          <w:color w:val="000000" w:themeColor="text1"/>
          <w:szCs w:val="24"/>
          <w:u w:color="000000" w:themeColor="text1"/>
        </w:rPr>
        <w:t xml:space="preserve"> If the association does not approve the request in full, the response shall allow the homeowner at least fifteen days after denying the request to pay without incurring attorney fees.</w:t>
      </w:r>
      <w:r>
        <w:rPr>
          <w:color w:val="000000" w:themeColor="text1"/>
          <w:szCs w:val="24"/>
          <w:u w:color="000000" w:themeColor="text1"/>
        </w:rPr>
        <w:t xml:space="preserve"> </w:t>
      </w:r>
      <w:r w:rsidRPr="00F0396B">
        <w:rPr>
          <w:color w:val="000000" w:themeColor="text1"/>
          <w:szCs w:val="24"/>
          <w:u w:color="000000" w:themeColor="text1"/>
        </w:rPr>
        <w:t xml:space="preserve"> Nothing prohibits the board from approving an installment plan more lenient than provided by existing rules, in which case the board shall amend the existing rules so that all homeowners shall receive fair notice and equal treatment.”</w:t>
      </w:r>
    </w:p>
    <w:p w14:paraId="6DF981A9"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7F01DDE"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0396B">
        <w:rPr>
          <w:rFonts w:eastAsia="Times New Roman"/>
          <w:color w:val="000000" w:themeColor="text1"/>
          <w:u w:color="000000" w:themeColor="text1"/>
        </w:rPr>
        <w:t>SECTION</w:t>
      </w:r>
      <w:r w:rsidRPr="00F0396B">
        <w:rPr>
          <w:rFonts w:eastAsia="Times New Roman"/>
          <w:color w:val="000000" w:themeColor="text1"/>
          <w:u w:color="000000" w:themeColor="text1"/>
        </w:rPr>
        <w:tab/>
      </w:r>
      <w:r>
        <w:rPr>
          <w:rFonts w:eastAsia="Times New Roman"/>
          <w:color w:val="000000" w:themeColor="text1"/>
          <w:u w:color="000000" w:themeColor="text1"/>
        </w:rPr>
        <w:t>2</w:t>
      </w:r>
      <w:r w:rsidRPr="00F0396B">
        <w:rPr>
          <w:rFonts w:eastAsia="Times New Roman"/>
          <w:color w:val="000000" w:themeColor="text1"/>
          <w:u w:color="000000" w:themeColor="text1"/>
        </w:rPr>
        <w:t>.</w:t>
      </w:r>
      <w:r w:rsidRPr="00F0396B">
        <w:rPr>
          <w:rFonts w:eastAsia="Times New Roman"/>
          <w:color w:val="000000" w:themeColor="text1"/>
          <w:u w:color="000000" w:themeColor="text1"/>
        </w:rPr>
        <w:tab/>
        <w:t>This act takes effect upon approval by the Governor.</w:t>
      </w:r>
    </w:p>
    <w:p w14:paraId="7FE2EE23" w14:textId="265BA31C" w:rsidR="0020162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F546212" w14:textId="77777777" w:rsidR="00BB16F0" w:rsidRDefault="00BB16F0" w:rsidP="00BB16F0">
      <w:pPr>
        <w:suppressAutoHyphens/>
        <w:jc w:val="both"/>
        <w:rPr>
          <w:rFonts w:eastAsia="Times New Roman"/>
        </w:rPr>
      </w:pPr>
    </w:p>
    <w:sectPr w:rsidR="00BB16F0" w:rsidSect="00BB16F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24A677" w14:textId="77777777" w:rsidR="001B07F5" w:rsidRDefault="001B07F5" w:rsidP="00522CE0">
      <w:r>
        <w:separator/>
      </w:r>
    </w:p>
  </w:endnote>
  <w:endnote w:type="continuationSeparator" w:id="0">
    <w:p w14:paraId="7F158415" w14:textId="77777777" w:rsidR="001B07F5" w:rsidRDefault="001B07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F1C6FF-306E-4BD4-A9A8-4D1883441E56}"/>
    <w:embedBold r:id="rId2" w:fontKey="{4AB21885-2474-44E3-A790-607C34A3DD0E}"/>
  </w:font>
  <w:font w:name="Calibri">
    <w:panose1 w:val="020F0502020204030204"/>
    <w:charset w:val="00"/>
    <w:family w:val="swiss"/>
    <w:pitch w:val="variable"/>
    <w:sig w:usb0="E00002FF" w:usb1="4000ACFF" w:usb2="00000001" w:usb3="00000000" w:csb0="0000019F" w:csb1="00000000"/>
    <w:embedRegular r:id="rId3" w:fontKey="{AC96820E-E2F7-4D62-845B-185933CFFAE0}"/>
    <w:embedBold r:id="rId4" w:fontKey="{962D4621-9BCB-4770-A354-B191ECE0DF2F}"/>
  </w:font>
  <w:font w:name="Segoe UI">
    <w:panose1 w:val="020B0502040204020203"/>
    <w:charset w:val="00"/>
    <w:family w:val="swiss"/>
    <w:pitch w:val="variable"/>
    <w:sig w:usb0="E10022FF" w:usb1="C000E47F" w:usb2="00000029" w:usb3="00000000" w:csb0="000001DF" w:csb1="00000000"/>
    <w:embedRegular r:id="rId5" w:fontKey="{149C957F-B92D-43FD-B8FB-FECDAE31134C}"/>
  </w:font>
  <w:font w:name="Cambria">
    <w:panose1 w:val="02040503050406030204"/>
    <w:charset w:val="00"/>
    <w:family w:val="roman"/>
    <w:pitch w:val="variable"/>
    <w:sig w:usb0="E00002FF" w:usb1="400004FF" w:usb2="00000000" w:usb3="00000000" w:csb0="0000019F" w:csb1="00000000"/>
    <w:embedRegular r:id="rId6" w:fontKey="{213FBBD1-E40B-4FA1-A746-E59EBCF7A6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A1C62" w14:textId="77777777" w:rsidR="00BB16F0" w:rsidRPr="00A34260" w:rsidRDefault="00BB16F0" w:rsidP="00A34260">
    <w:pPr>
      <w:pStyle w:val="Footer"/>
      <w:tabs>
        <w:tab w:val="clear" w:pos="4680"/>
        <w:tab w:val="clear" w:pos="9360"/>
        <w:tab w:val="center" w:pos="2995"/>
      </w:tabs>
      <w:spacing w:before="120"/>
    </w:pPr>
    <w:r>
      <w:t>[1145]</w:t>
    </w:r>
    <w:r>
      <w:tab/>
    </w:r>
    <w:r>
      <w:fldChar w:fldCharType="begin"/>
    </w:r>
    <w:r>
      <w:instrText xml:space="preserve"> PAGE  \* MERGEFORMAT </w:instrText>
    </w:r>
    <w:r>
      <w:fldChar w:fldCharType="separate"/>
    </w:r>
    <w:r w:rsidR="005D67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7092C8" w14:textId="77777777" w:rsidR="001B07F5" w:rsidRDefault="001B07F5" w:rsidP="00522CE0">
      <w:r>
        <w:separator/>
      </w:r>
    </w:p>
  </w:footnote>
  <w:footnote w:type="continuationSeparator" w:id="0">
    <w:p w14:paraId="64B9ABD4" w14:textId="77777777" w:rsidR="001B07F5" w:rsidRDefault="001B07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3.PB"/>
    <w:docVar w:name="CoverAttorneyInitials" w:val="PB"/>
    <w:docVar w:name="CoverAttorneyLastName" w:val="Benson"/>
    <w:docVar w:name="CoverBillType" w:val="b"/>
    <w:docVar w:name="DraftFileName" w:val="JUD0083.PB.DOCX"/>
    <w:docVar w:name="DraftStenoName" w:val="Knipp"/>
    <w:docVar w:name="dvBillNumber" w:val="1145"/>
    <w:docVar w:name="dvBillNumberPrefix" w:val="S. "/>
    <w:docVar w:name="dvOriginalBody" w:val="Senate"/>
    <w:docVar w:name="fulldraftpath" w:val="L:\S-JUD\BILLS\Jackson\JUD0083.PB.DOCX"/>
    <w:docVar w:name="NameofBody" w:val="S"/>
    <w:docVar w:name="SenatorFolderName" w:val="Jackson"/>
    <w:docVar w:name="VGROUP2" w:val="S-JUD"/>
  </w:docVars>
  <w:rsids>
    <w:rsidRoot w:val="001B07F5"/>
    <w:rsid w:val="000050D0"/>
    <w:rsid w:val="000141EB"/>
    <w:rsid w:val="00042AC1"/>
    <w:rsid w:val="00046516"/>
    <w:rsid w:val="00074379"/>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07F5"/>
    <w:rsid w:val="001B3DD9"/>
    <w:rsid w:val="001C23C9"/>
    <w:rsid w:val="001D3BAC"/>
    <w:rsid w:val="00201624"/>
    <w:rsid w:val="00206D3D"/>
    <w:rsid w:val="0021330E"/>
    <w:rsid w:val="00221A5C"/>
    <w:rsid w:val="0024519E"/>
    <w:rsid w:val="00245C4E"/>
    <w:rsid w:val="002C5896"/>
    <w:rsid w:val="002E7B2B"/>
    <w:rsid w:val="00307C2B"/>
    <w:rsid w:val="0031409E"/>
    <w:rsid w:val="0032109A"/>
    <w:rsid w:val="00333DF1"/>
    <w:rsid w:val="0033541C"/>
    <w:rsid w:val="00364389"/>
    <w:rsid w:val="003D6A5D"/>
    <w:rsid w:val="003D6E2B"/>
    <w:rsid w:val="003E7597"/>
    <w:rsid w:val="00412C9E"/>
    <w:rsid w:val="0042257B"/>
    <w:rsid w:val="00442827"/>
    <w:rsid w:val="00450668"/>
    <w:rsid w:val="00452CD7"/>
    <w:rsid w:val="00463210"/>
    <w:rsid w:val="00477696"/>
    <w:rsid w:val="004952FA"/>
    <w:rsid w:val="004A05F7"/>
    <w:rsid w:val="004A592F"/>
    <w:rsid w:val="004B6A22"/>
    <w:rsid w:val="004C2918"/>
    <w:rsid w:val="004D0DC4"/>
    <w:rsid w:val="004D168C"/>
    <w:rsid w:val="004D6923"/>
    <w:rsid w:val="004D7F37"/>
    <w:rsid w:val="0051584C"/>
    <w:rsid w:val="00520D79"/>
    <w:rsid w:val="00522CE0"/>
    <w:rsid w:val="00525DCD"/>
    <w:rsid w:val="00541FF6"/>
    <w:rsid w:val="0054526E"/>
    <w:rsid w:val="00565148"/>
    <w:rsid w:val="0056563F"/>
    <w:rsid w:val="00581497"/>
    <w:rsid w:val="00586B30"/>
    <w:rsid w:val="0058748C"/>
    <w:rsid w:val="00593361"/>
    <w:rsid w:val="005A5017"/>
    <w:rsid w:val="005A648C"/>
    <w:rsid w:val="005D675A"/>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62D04"/>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0FCA"/>
    <w:rsid w:val="009A7B72"/>
    <w:rsid w:val="009C118A"/>
    <w:rsid w:val="009C2F97"/>
    <w:rsid w:val="009C6FD3"/>
    <w:rsid w:val="00A02011"/>
    <w:rsid w:val="00A1612A"/>
    <w:rsid w:val="00A34260"/>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16F0"/>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90B1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043DCE5"/>
  <w15:docId w15:val="{6A4B8250-8C74-42BA-BF0C-8198D40A9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semiHidden/>
    <w:unhideWhenUsed/>
    <w:rsid w:val="00463210"/>
    <w:pPr>
      <w:spacing w:before="100" w:beforeAutospacing="1" w:after="100" w:afterAutospacing="1"/>
    </w:pPr>
    <w:rPr>
      <w:rFonts w:eastAsia="Times New Roman"/>
      <w:sz w:val="24"/>
      <w:szCs w:val="24"/>
    </w:rPr>
  </w:style>
  <w:style w:type="character" w:styleId="CommentReference">
    <w:name w:val="annotation reference"/>
    <w:basedOn w:val="DefaultParagraphFont"/>
    <w:uiPriority w:val="99"/>
    <w:semiHidden/>
    <w:unhideWhenUsed/>
    <w:rsid w:val="009A0FCA"/>
    <w:rPr>
      <w:sz w:val="16"/>
      <w:szCs w:val="16"/>
    </w:rPr>
  </w:style>
  <w:style w:type="paragraph" w:styleId="CommentText">
    <w:name w:val="annotation text"/>
    <w:basedOn w:val="Normal"/>
    <w:link w:val="CommentTextChar"/>
    <w:uiPriority w:val="99"/>
    <w:semiHidden/>
    <w:unhideWhenUsed/>
    <w:rsid w:val="009A0FCA"/>
    <w:rPr>
      <w:sz w:val="20"/>
      <w:szCs w:val="20"/>
    </w:rPr>
  </w:style>
  <w:style w:type="character" w:customStyle="1" w:styleId="CommentTextChar">
    <w:name w:val="Comment Text Char"/>
    <w:basedOn w:val="DefaultParagraphFont"/>
    <w:link w:val="CommentText"/>
    <w:uiPriority w:val="99"/>
    <w:semiHidden/>
    <w:rsid w:val="009A0FCA"/>
    <w:rPr>
      <w:sz w:val="20"/>
      <w:szCs w:val="20"/>
    </w:rPr>
  </w:style>
  <w:style w:type="paragraph" w:styleId="CommentSubject">
    <w:name w:val="annotation subject"/>
    <w:basedOn w:val="CommentText"/>
    <w:next w:val="CommentText"/>
    <w:link w:val="CommentSubjectChar"/>
    <w:uiPriority w:val="99"/>
    <w:semiHidden/>
    <w:unhideWhenUsed/>
    <w:rsid w:val="009A0FCA"/>
    <w:rPr>
      <w:b/>
      <w:bCs/>
    </w:rPr>
  </w:style>
  <w:style w:type="character" w:customStyle="1" w:styleId="CommentSubjectChar">
    <w:name w:val="Comment Subject Char"/>
    <w:basedOn w:val="CommentTextChar"/>
    <w:link w:val="CommentSubject"/>
    <w:uiPriority w:val="99"/>
    <w:semiHidden/>
    <w:rsid w:val="009A0FCA"/>
    <w:rPr>
      <w:b/>
      <w:bCs/>
      <w:sz w:val="20"/>
      <w:szCs w:val="20"/>
    </w:rPr>
  </w:style>
  <w:style w:type="paragraph" w:styleId="BalloonText">
    <w:name w:val="Balloon Text"/>
    <w:basedOn w:val="Normal"/>
    <w:link w:val="BalloonTextChar"/>
    <w:uiPriority w:val="99"/>
    <w:semiHidden/>
    <w:unhideWhenUsed/>
    <w:rsid w:val="009A0F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FCA"/>
    <w:rPr>
      <w:rFonts w:ascii="Segoe UI" w:hAnsi="Segoe UI" w:cs="Segoe UI"/>
      <w:sz w:val="18"/>
      <w:szCs w:val="18"/>
    </w:rPr>
  </w:style>
  <w:style w:type="character" w:styleId="Hyperlink">
    <w:name w:val="Hyperlink"/>
    <w:basedOn w:val="DefaultParagraphFont"/>
    <w:uiPriority w:val="99"/>
    <w:unhideWhenUsed/>
    <w:rsid w:val="00BB16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45&amp;session=122&amp;summary=B" TargetMode="External"/><Relationship Id="rId3" Type="http://schemas.openxmlformats.org/officeDocument/2006/relationships/webSettings" Target="webSettings.xml"/><Relationship Id="rId7" Type="http://schemas.openxmlformats.org/officeDocument/2006/relationships/hyperlink" Target="file:///h:\sj\2018032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32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145_201803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12FB162C.dotm</Template>
  <TotalTime>1</TotalTime>
  <Pages>3</Pages>
  <Words>786</Words>
  <Characters>4209</Characters>
  <Application>Microsoft Office Word</Application>
  <DocSecurity>0</DocSecurity>
  <Lines>131</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1145: Homeowners Associations - South Carolina Legislature Online</dc:title>
  <dc:subject/>
  <dc:creator>%USERNAME%</dc:creator>
  <cp:keywords/>
  <dc:description/>
  <cp:lastModifiedBy>S Volk</cp:lastModifiedBy>
  <cp:revision>2</cp:revision>
  <dcterms:created xsi:type="dcterms:W3CDTF">2018-04-02T14:58:00Z</dcterms:created>
  <dcterms:modified xsi:type="dcterms:W3CDTF">2018-04-02T14:58:00Z</dcterms:modified>
</cp:coreProperties>
</file>