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E1E" w:rsidRDefault="00794E1E" w:rsidP="00794E1E">
      <w:pPr>
        <w:widowControl w:val="0"/>
        <w:jc w:val="center"/>
      </w:pPr>
      <w:r w:rsidRPr="00794E1E">
        <w:rPr>
          <w:b/>
        </w:rPr>
        <w:t>South Carolina General Assembly</w:t>
      </w:r>
    </w:p>
    <w:p w:rsidR="00794E1E" w:rsidRDefault="00794E1E" w:rsidP="00794E1E">
      <w:pPr>
        <w:widowControl w:val="0"/>
        <w:jc w:val="center"/>
      </w:pPr>
      <w:r>
        <w:t>122nd Session, 2017-2018</w:t>
      </w:r>
    </w:p>
    <w:p w:rsidR="00794E1E" w:rsidRDefault="00794E1E" w:rsidP="00794E1E">
      <w:pPr>
        <w:widowControl w:val="0"/>
      </w:pPr>
    </w:p>
    <w:p w:rsidR="00794E1E" w:rsidRDefault="00794E1E" w:rsidP="00794E1E">
      <w:pPr>
        <w:widowControl w:val="0"/>
        <w:rPr>
          <w:b/>
        </w:rPr>
      </w:pPr>
      <w:r w:rsidRPr="00794E1E">
        <w:rPr>
          <w:b/>
        </w:rPr>
        <w:t>S.</w:t>
      </w:r>
      <w:r>
        <w:rPr>
          <w:b/>
        </w:rPr>
        <w:t xml:space="preserve"> </w:t>
      </w:r>
      <w:r w:rsidRPr="00794E1E">
        <w:rPr>
          <w:b/>
        </w:rPr>
        <w:t>242</w:t>
      </w:r>
    </w:p>
    <w:p w:rsidR="00794E1E" w:rsidRDefault="00794E1E" w:rsidP="00794E1E">
      <w:pPr>
        <w:widowControl w:val="0"/>
        <w:rPr>
          <w:b/>
        </w:rPr>
      </w:pPr>
    </w:p>
    <w:p w:rsidR="00794E1E" w:rsidRDefault="00794E1E" w:rsidP="00794E1E">
      <w:pPr>
        <w:widowControl w:val="0"/>
      </w:pPr>
      <w:r w:rsidRPr="00794E1E">
        <w:rPr>
          <w:b/>
        </w:rPr>
        <w:t>STATUS INFORMATION</w:t>
      </w:r>
    </w:p>
    <w:p w:rsidR="00794E1E" w:rsidRDefault="00794E1E" w:rsidP="00794E1E">
      <w:pPr>
        <w:widowControl w:val="0"/>
      </w:pPr>
    </w:p>
    <w:p w:rsidR="00794E1E" w:rsidRDefault="00794E1E" w:rsidP="00794E1E">
      <w:pPr>
        <w:widowControl w:val="0"/>
      </w:pPr>
      <w:r>
        <w:t>General Bill</w:t>
      </w:r>
    </w:p>
    <w:p w:rsidR="00794E1E" w:rsidRDefault="00794E1E" w:rsidP="00794E1E">
      <w:pPr>
        <w:widowControl w:val="0"/>
      </w:pPr>
      <w:r>
        <w:t>Sponsors: Senator Grooms</w:t>
      </w:r>
    </w:p>
    <w:p w:rsidR="00794E1E" w:rsidRDefault="00794E1E" w:rsidP="00794E1E">
      <w:pPr>
        <w:widowControl w:val="0"/>
      </w:pPr>
      <w:r>
        <w:t>Document Path: l:\s-res\lkg\004birt.dmr.lkg.docx</w:t>
      </w:r>
    </w:p>
    <w:p w:rsidR="00794E1E" w:rsidRDefault="00794E1E" w:rsidP="00794E1E">
      <w:pPr>
        <w:widowControl w:val="0"/>
      </w:pPr>
    </w:p>
    <w:p w:rsidR="00794E1E" w:rsidRDefault="00794E1E" w:rsidP="00794E1E">
      <w:pPr>
        <w:widowControl w:val="0"/>
      </w:pPr>
      <w:r>
        <w:t>Introduced in the Senate on January 10, 2017</w:t>
      </w:r>
    </w:p>
    <w:p w:rsidR="00794E1E" w:rsidRDefault="00794E1E" w:rsidP="00794E1E">
      <w:pPr>
        <w:widowControl w:val="0"/>
      </w:pPr>
      <w:r>
        <w:t xml:space="preserve">Currently residing in the Senate Committee on </w:t>
      </w:r>
      <w:r w:rsidRPr="00794E1E">
        <w:rPr>
          <w:b/>
        </w:rPr>
        <w:t>Medical Affairs</w:t>
      </w:r>
    </w:p>
    <w:p w:rsidR="00794E1E" w:rsidRDefault="00794E1E" w:rsidP="00794E1E">
      <w:pPr>
        <w:widowControl w:val="0"/>
      </w:pPr>
    </w:p>
    <w:p w:rsidR="00794E1E" w:rsidRDefault="00794E1E" w:rsidP="00794E1E">
      <w:pPr>
        <w:widowControl w:val="0"/>
      </w:pPr>
      <w:r>
        <w:t xml:space="preserve">Summary: </w:t>
      </w:r>
      <w:r w:rsidR="00C07E55">
        <w:t>Medical definitions</w:t>
      </w:r>
    </w:p>
    <w:p w:rsidR="00794E1E" w:rsidRDefault="00794E1E" w:rsidP="00794E1E">
      <w:pPr>
        <w:widowControl w:val="0"/>
      </w:pPr>
    </w:p>
    <w:p w:rsidR="00794E1E" w:rsidRDefault="00794E1E" w:rsidP="00794E1E">
      <w:pPr>
        <w:widowControl w:val="0"/>
      </w:pPr>
    </w:p>
    <w:p w:rsidR="00794E1E" w:rsidRDefault="00794E1E" w:rsidP="00794E1E">
      <w:pPr>
        <w:widowControl w:val="0"/>
        <w:tabs>
          <w:tab w:val="center" w:pos="590"/>
          <w:tab w:val="center" w:pos="1440"/>
          <w:tab w:val="left" w:pos="1872"/>
          <w:tab w:val="left" w:pos="9187"/>
        </w:tabs>
      </w:pPr>
      <w:r w:rsidRPr="00794E1E">
        <w:rPr>
          <w:b/>
        </w:rPr>
        <w:t>HISTORY OF LEGISLATIVE ACTIONS</w:t>
      </w:r>
    </w:p>
    <w:p w:rsidR="00794E1E" w:rsidRDefault="00794E1E" w:rsidP="00794E1E">
      <w:pPr>
        <w:widowControl w:val="0"/>
        <w:tabs>
          <w:tab w:val="center" w:pos="590"/>
          <w:tab w:val="center" w:pos="1440"/>
          <w:tab w:val="left" w:pos="1872"/>
          <w:tab w:val="left" w:pos="9187"/>
        </w:tabs>
      </w:pPr>
    </w:p>
    <w:p w:rsidR="00794E1E" w:rsidRPr="00794E1E" w:rsidRDefault="00794E1E" w:rsidP="00794E1E">
      <w:pPr>
        <w:widowControl w:val="0"/>
        <w:tabs>
          <w:tab w:val="center" w:pos="590"/>
          <w:tab w:val="center" w:pos="1440"/>
          <w:tab w:val="left" w:pos="1872"/>
          <w:tab w:val="left" w:pos="9187"/>
        </w:tabs>
      </w:pPr>
      <w:r w:rsidRPr="00794E1E">
        <w:rPr>
          <w:u w:val="single"/>
        </w:rPr>
        <w:tab/>
        <w:t>Date</w:t>
      </w:r>
      <w:r w:rsidRPr="00794E1E">
        <w:rPr>
          <w:u w:val="single"/>
        </w:rPr>
        <w:tab/>
        <w:t>Body</w:t>
      </w:r>
      <w:r w:rsidRPr="00794E1E">
        <w:rPr>
          <w:u w:val="single"/>
        </w:rPr>
        <w:tab/>
        <w:t>Action Description with journal page number</w:t>
      </w:r>
      <w:r w:rsidRPr="00794E1E">
        <w:rPr>
          <w:u w:val="single"/>
        </w:rPr>
        <w:tab/>
      </w:r>
    </w:p>
    <w:p w:rsidR="003F2760" w:rsidRDefault="003F2760" w:rsidP="003F2760">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C16F45">
        <w:t>(</w:t>
      </w:r>
      <w:hyperlink r:id="rId6" w:history="1">
        <w:r w:rsidRPr="00C16F45">
          <w:rPr>
            <w:rStyle w:val="Hyperlink"/>
          </w:rPr>
          <w:t>Senate Journal</w:t>
        </w:r>
        <w:r w:rsidRPr="00C16F45">
          <w:rPr>
            <w:rStyle w:val="Hyperlink"/>
          </w:rPr>
          <w:noBreakHyphen/>
          <w:t>page 122</w:t>
        </w:r>
      </w:hyperlink>
      <w:r w:rsidRPr="00C16F45">
        <w:t>)</w:t>
      </w:r>
    </w:p>
    <w:p w:rsidR="003F2760" w:rsidRDefault="003F2760" w:rsidP="003F2760">
      <w:pPr>
        <w:widowControl w:val="0"/>
        <w:tabs>
          <w:tab w:val="right" w:pos="1008"/>
          <w:tab w:val="left" w:pos="1152"/>
          <w:tab w:val="left" w:pos="1872"/>
          <w:tab w:val="left" w:pos="9187"/>
        </w:tabs>
        <w:ind w:left="2088" w:hanging="2088"/>
      </w:pPr>
      <w:r>
        <w:tab/>
        <w:t>1/10/2017</w:t>
      </w:r>
      <w:r>
        <w:tab/>
        <w:t>Senate</w:t>
      </w:r>
      <w:r>
        <w:tab/>
      </w:r>
      <w:r w:rsidRPr="00C16F45">
        <w:t xml:space="preserve">Referred to Committee on </w:t>
      </w:r>
      <w:r w:rsidRPr="00C16F45">
        <w:rPr>
          <w:b/>
        </w:rPr>
        <w:t>Medical Affairs</w:t>
      </w:r>
      <w:r>
        <w:t xml:space="preserve"> </w:t>
      </w:r>
      <w:r w:rsidRPr="00C16F45">
        <w:t>(</w:t>
      </w:r>
      <w:hyperlink r:id="rId7" w:history="1">
        <w:r w:rsidRPr="00C16F45">
          <w:rPr>
            <w:rStyle w:val="Hyperlink"/>
          </w:rPr>
          <w:t>Senate Journal</w:t>
        </w:r>
        <w:r w:rsidRPr="00C16F45">
          <w:rPr>
            <w:rStyle w:val="Hyperlink"/>
          </w:rPr>
          <w:noBreakHyphen/>
          <w:t>page 122</w:t>
        </w:r>
      </w:hyperlink>
      <w:r w:rsidRPr="00C16F45">
        <w:t>)</w:t>
      </w:r>
    </w:p>
    <w:p w:rsidR="003F2760" w:rsidRDefault="003F2760" w:rsidP="003F2760">
      <w:pPr>
        <w:widowControl w:val="0"/>
        <w:tabs>
          <w:tab w:val="right" w:pos="1008"/>
          <w:tab w:val="left" w:pos="1152"/>
          <w:tab w:val="left" w:pos="1872"/>
          <w:tab w:val="left" w:pos="9187"/>
        </w:tabs>
        <w:ind w:left="2088" w:hanging="2088"/>
      </w:pPr>
    </w:p>
    <w:p w:rsidR="00794E1E" w:rsidRDefault="00794E1E" w:rsidP="00794E1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94E1E">
          <w:rPr>
            <w:rStyle w:val="Hyperlink"/>
          </w:rPr>
          <w:t>legislative information</w:t>
        </w:r>
      </w:hyperlink>
      <w:r>
        <w:t xml:space="preserve"> at the website</w:t>
      </w:r>
    </w:p>
    <w:p w:rsidR="00794E1E" w:rsidRDefault="00794E1E" w:rsidP="00794E1E">
      <w:pPr>
        <w:widowControl w:val="0"/>
        <w:tabs>
          <w:tab w:val="right" w:pos="1008"/>
          <w:tab w:val="left" w:pos="1152"/>
          <w:tab w:val="left" w:pos="1872"/>
          <w:tab w:val="left" w:pos="9187"/>
        </w:tabs>
        <w:ind w:left="2088" w:hanging="2088"/>
      </w:pPr>
    </w:p>
    <w:p w:rsidR="00794E1E" w:rsidRPr="00794E1E" w:rsidRDefault="00794E1E" w:rsidP="00794E1E">
      <w:pPr>
        <w:widowControl w:val="0"/>
        <w:tabs>
          <w:tab w:val="right" w:pos="1008"/>
          <w:tab w:val="left" w:pos="1152"/>
          <w:tab w:val="left" w:pos="1872"/>
          <w:tab w:val="left" w:pos="9187"/>
        </w:tabs>
        <w:ind w:left="2088" w:hanging="2088"/>
      </w:pPr>
    </w:p>
    <w:p w:rsidR="00794E1E" w:rsidRDefault="00794E1E" w:rsidP="00794E1E">
      <w:pPr>
        <w:widowControl w:val="0"/>
      </w:pPr>
      <w:r w:rsidRPr="00794E1E">
        <w:rPr>
          <w:b/>
        </w:rPr>
        <w:t>VERSIONS OF THIS BILL</w:t>
      </w:r>
    </w:p>
    <w:p w:rsidR="00794E1E" w:rsidRDefault="00794E1E" w:rsidP="00794E1E">
      <w:pPr>
        <w:widowControl w:val="0"/>
      </w:pPr>
    </w:p>
    <w:p w:rsidR="00794E1E" w:rsidRDefault="00D471D0" w:rsidP="00794E1E">
      <w:pPr>
        <w:widowControl w:val="0"/>
      </w:pPr>
      <w:hyperlink r:id="rId9" w:history="1">
        <w:r w:rsidR="00794E1E">
          <w:rPr>
            <w:rStyle w:val="Hyperlink"/>
          </w:rPr>
          <w:t>1/10/2017</w:t>
        </w:r>
      </w:hyperlink>
    </w:p>
    <w:p w:rsidR="00794E1E" w:rsidRDefault="00794E1E" w:rsidP="00794E1E"/>
    <w:p w:rsidR="00794E1E" w:rsidRDefault="00794E1E" w:rsidP="00794E1E">
      <w:pPr>
        <w:sectPr w:rsidR="00794E1E" w:rsidSect="00794E1E">
          <w:pgSz w:w="12240" w:h="15840" w:code="1"/>
          <w:pgMar w:top="1080" w:right="1440" w:bottom="1080" w:left="1440" w:header="720" w:footer="720" w:gutter="0"/>
          <w:cols w:space="720"/>
          <w:noEndnote/>
          <w:docGrid w:linePitch="360"/>
        </w:sectPr>
      </w:pPr>
    </w:p>
    <w:p w:rsidR="005960B4" w:rsidRPr="00522CE0" w:rsidRDefault="00596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68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5595B">
        <w:rPr>
          <w:color w:val="000000" w:themeColor="text1"/>
          <w:u w:color="000000" w:themeColor="text1"/>
        </w:rPr>
        <w:t>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30</w:t>
      </w:r>
      <w:r>
        <w:rPr>
          <w:color w:val="000000" w:themeColor="text1"/>
          <w:u w:color="000000" w:themeColor="text1"/>
        </w:rPr>
        <w:t xml:space="preserve"> OF THE 1976 CODE, </w:t>
      </w:r>
      <w:r w:rsidRPr="00C5595B">
        <w:rPr>
          <w:color w:val="000000" w:themeColor="text1"/>
          <w:u w:color="000000" w:themeColor="text1"/>
        </w:rPr>
        <w:t xml:space="preserve">RELATING TO </w:t>
      </w:r>
      <w:r w:rsidR="00BD2B71">
        <w:rPr>
          <w:color w:val="000000" w:themeColor="text1"/>
          <w:u w:color="000000" w:themeColor="text1"/>
        </w:rPr>
        <w:t xml:space="preserve">THE </w:t>
      </w:r>
      <w:r>
        <w:rPr>
          <w:color w:val="000000" w:themeColor="text1"/>
          <w:u w:color="000000" w:themeColor="text1"/>
        </w:rPr>
        <w:t xml:space="preserve">LICENSING OF BIRTHING CENTERS, </w:t>
      </w:r>
      <w:r w:rsidRPr="00C5595B">
        <w:rPr>
          <w:color w:val="000000" w:themeColor="text1"/>
          <w:u w:color="000000" w:themeColor="text1"/>
        </w:rPr>
        <w:t>TO CHANGE DEFINITIONAL TERMS; AND 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 xml:space="preserve">60, RELATING TO </w:t>
      </w:r>
      <w:r w:rsidR="006D76A0">
        <w:rPr>
          <w:color w:val="000000" w:themeColor="text1"/>
          <w:u w:color="000000" w:themeColor="text1"/>
        </w:rPr>
        <w:t xml:space="preserve">THE </w:t>
      </w:r>
      <w:r w:rsidRPr="00C5595B">
        <w:rPr>
          <w:color w:val="000000" w:themeColor="text1"/>
          <w:u w:color="000000" w:themeColor="text1"/>
        </w:rPr>
        <w:t xml:space="preserve">REGULATION OF BIRTH CENTERS, TO REQUIRE BIRTH CENTERS TO BE ACCREDITED AND COMPLY WITH STATE STATUTES AND REGULATIONS, TO REQUIRE BIRTHS PLANNED TO OCCUR AT BIRTH CENTERS TO BE EVALUATED BY PROFESSIONAL STAFF TO ASSESS FOR RISK STATUS AND TO DOCUMENT EVALUATIONS IN CLIENT FILES, TO ADDRESS PROFESSIONAL REQUIREMENTS FOR STAFF MEMBERS WHO PROVIDE PATIENT CARE, TO REQUIRE </w:t>
      </w:r>
      <w:r w:rsidR="006D76A0">
        <w:rPr>
          <w:color w:val="000000" w:themeColor="text1"/>
          <w:u w:color="000000" w:themeColor="text1"/>
        </w:rPr>
        <w:t xml:space="preserve">THE </w:t>
      </w:r>
      <w:r w:rsidRPr="00C5595B">
        <w:rPr>
          <w:color w:val="000000" w:themeColor="text1"/>
          <w:u w:color="000000" w:themeColor="text1"/>
        </w:rPr>
        <w:t>DEVELOPMENT OF GUIDELINES</w:t>
      </w:r>
      <w:r>
        <w:rPr>
          <w:color w:val="000000" w:themeColor="text1"/>
          <w:u w:color="000000" w:themeColor="text1"/>
        </w:rPr>
        <w:t xml:space="preserve">, </w:t>
      </w:r>
      <w:r w:rsidRPr="00C5595B">
        <w:rPr>
          <w:color w:val="000000" w:themeColor="text1"/>
          <w:u w:color="000000" w:themeColor="text1"/>
        </w:rPr>
        <w:t>POLICIES</w:t>
      </w:r>
      <w:r w:rsidR="006D76A0">
        <w:rPr>
          <w:color w:val="000000" w:themeColor="text1"/>
          <w:u w:color="000000" w:themeColor="text1"/>
        </w:rPr>
        <w:t>,</w:t>
      </w:r>
      <w:r w:rsidRPr="00C5595B">
        <w:rPr>
          <w:color w:val="000000" w:themeColor="text1"/>
          <w:u w:color="000000" w:themeColor="text1"/>
        </w:rPr>
        <w:t xml:space="preserve"> </w:t>
      </w:r>
      <w:r>
        <w:rPr>
          <w:color w:val="000000" w:themeColor="text1"/>
          <w:u w:color="000000" w:themeColor="text1"/>
        </w:rPr>
        <w:t xml:space="preserve">AND PROCEDURES </w:t>
      </w:r>
      <w:r w:rsidRPr="00C5595B">
        <w:rPr>
          <w:color w:val="000000" w:themeColor="text1"/>
          <w:u w:color="000000" w:themeColor="text1"/>
        </w:rPr>
        <w:t>ADDRESSING, AMONG OTHER PRACTICES, THE TRANSFER OF CLIENTS TO HOSPITALS, TO REQUIRE BIRTH CENTERS TO COLLECT AND REPORT DATA, AND TO ESTABLISH A DEADLINE FOR BIRTH CENTERS IN OPERATION TO BECOME ACCREDITED.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686C" w:rsidRDefault="000D6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686C" w:rsidRDefault="000D6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C41" w:rsidRDefault="000D686C"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A7C41">
        <w:rPr>
          <w:rFonts w:eastAsia="Times New Roman"/>
        </w:rPr>
        <w:t>Section 44</w:t>
      </w:r>
      <w:r w:rsidR="008A7C41">
        <w:rPr>
          <w:rFonts w:eastAsia="Times New Roman"/>
        </w:rPr>
        <w:noBreakHyphen/>
        <w:t>89</w:t>
      </w:r>
      <w:r w:rsidR="008A7C41">
        <w:rPr>
          <w:rFonts w:eastAsia="Times New Roman"/>
        </w:rPr>
        <w:noBreakHyphen/>
        <w:t>30 of the 1976 Code is amended to read:</w:t>
      </w:r>
    </w:p>
    <w:p w:rsidR="008A7C41"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C41" w:rsidRPr="00E67BFA"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rPr>
        <w:tab/>
        <w:t>“</w:t>
      </w:r>
      <w:r w:rsidRPr="00E67BFA">
        <w:rPr>
          <w:rFonts w:eastAsia="Times New Roman"/>
          <w:szCs w:val="20"/>
        </w:rPr>
        <w:t>Section 44</w:t>
      </w:r>
      <w:r>
        <w:rPr>
          <w:rFonts w:eastAsia="Times New Roman"/>
          <w:szCs w:val="20"/>
        </w:rPr>
        <w:noBreakHyphen/>
      </w:r>
      <w:r w:rsidRPr="00E67BFA">
        <w:rPr>
          <w:rFonts w:eastAsia="Times New Roman"/>
          <w:szCs w:val="20"/>
        </w:rPr>
        <w:t>89</w:t>
      </w:r>
      <w:r>
        <w:rPr>
          <w:rFonts w:eastAsia="Times New Roman"/>
          <w:szCs w:val="20"/>
        </w:rPr>
        <w:noBreakHyphen/>
      </w:r>
      <w:r w:rsidRPr="00E67BFA">
        <w:rPr>
          <w:rFonts w:eastAsia="Times New Roman"/>
          <w:szCs w:val="20"/>
        </w:rPr>
        <w:t>30.</w:t>
      </w:r>
      <w:r w:rsidRPr="00E67BFA">
        <w:rPr>
          <w:rFonts w:eastAsia="Times New Roman"/>
          <w:szCs w:val="20"/>
        </w:rPr>
        <w:tab/>
      </w:r>
      <w:r w:rsidRPr="00E67BFA">
        <w:rPr>
          <w:rFonts w:eastAsia="Times New Roman"/>
          <w:szCs w:val="20"/>
          <w:u w:color="000000" w:themeColor="text1"/>
        </w:rPr>
        <w:t>As used in this chapter:</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67BFA">
        <w:rPr>
          <w:rFonts w:eastAsia="Times New Roman"/>
          <w:szCs w:val="20"/>
          <w:u w:color="000000" w:themeColor="text1"/>
        </w:rPr>
        <w:tab/>
      </w:r>
      <w:r w:rsidRPr="000D0A99">
        <w:rPr>
          <w:rFonts w:eastAsia="Times New Roman"/>
          <w:color w:val="000000" w:themeColor="text1"/>
          <w:szCs w:val="20"/>
          <w:u w:val="single" w:color="000000" w:themeColor="text1"/>
        </w:rPr>
        <w:t>(1)</w:t>
      </w:r>
      <w:r w:rsidRPr="000D0A99">
        <w:rPr>
          <w:rFonts w:eastAsia="Times New Roman"/>
          <w:color w:val="000000" w:themeColor="text1"/>
          <w:szCs w:val="20"/>
          <w:u w:color="000000" w:themeColor="text1"/>
        </w:rPr>
        <w:tab/>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Accreditation</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official authorization or status granted by an agency other than the board but recognized by the board that recognizes </w:t>
      </w:r>
      <w:r w:rsidR="006D0F71">
        <w:rPr>
          <w:rFonts w:eastAsia="Times New Roman"/>
          <w:color w:val="000000" w:themeColor="text1"/>
          <w:szCs w:val="20"/>
          <w:u w:val="single" w:color="000000" w:themeColor="text1"/>
        </w:rPr>
        <w:t xml:space="preserve">the </w:t>
      </w:r>
      <w:r w:rsidRPr="000D0A99">
        <w:rPr>
          <w:rFonts w:eastAsia="Times New Roman"/>
          <w:color w:val="000000" w:themeColor="text1"/>
          <w:szCs w:val="20"/>
          <w:u w:val="single" w:color="000000" w:themeColor="text1"/>
        </w:rPr>
        <w:t>requirement of a birth center to meet nation</w:t>
      </w:r>
      <w:r w:rsidR="006D0F71">
        <w:rPr>
          <w:rFonts w:eastAsia="Times New Roman"/>
          <w:color w:val="000000" w:themeColor="text1"/>
          <w:szCs w:val="20"/>
          <w:u w:val="single" w:color="000000" w:themeColor="text1"/>
        </w:rPr>
        <w:t>al standards for the quality of</w:t>
      </w:r>
      <w:r w:rsidRPr="000D0A99">
        <w:rPr>
          <w:rFonts w:eastAsia="Times New Roman"/>
          <w:color w:val="000000" w:themeColor="text1"/>
          <w:szCs w:val="20"/>
          <w:u w:val="single" w:color="000000" w:themeColor="text1"/>
        </w:rPr>
        <w:t xml:space="preserve"> operation and services provided.</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(1)</w:t>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strike/>
          <w:color w:val="000000" w:themeColor="text1"/>
          <w:szCs w:val="20"/>
          <w:u w:color="000000" w:themeColor="text1"/>
        </w:rPr>
        <w:t>Birthing</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Birth center or birthing</w:t>
      </w:r>
      <w:r w:rsidRPr="000D0A99">
        <w:rPr>
          <w:rFonts w:eastAsia="Times New Roman"/>
          <w:color w:val="000000" w:themeColor="text1"/>
          <w:szCs w:val="20"/>
          <w:u w:color="000000" w:themeColor="text1"/>
        </w:rPr>
        <w:t xml:space="preserve"> center</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 facility or other place where human births are planned to occur</w:t>
      </w:r>
      <w:r w:rsidRPr="000D0A99">
        <w:rPr>
          <w:rFonts w:eastAsia="Times New Roman"/>
          <w:strike/>
          <w:color w:val="000000" w:themeColor="text1"/>
          <w:szCs w:val="20"/>
          <w:u w:color="000000" w:themeColor="text1"/>
        </w:rPr>
        <w:t>. This</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but</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color="000000" w:themeColor="text1"/>
        </w:rPr>
        <w:lastRenderedPageBreak/>
        <w:t xml:space="preserve">does not include the usual residence of the mother or </w:t>
      </w:r>
      <w:r w:rsidRPr="000D0A99">
        <w:rPr>
          <w:rFonts w:eastAsia="Times New Roman"/>
          <w:strike/>
          <w:color w:val="000000" w:themeColor="text1"/>
          <w:szCs w:val="20"/>
          <w:u w:color="000000" w:themeColor="text1"/>
        </w:rPr>
        <w:t>any</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a</w:t>
      </w:r>
      <w:r w:rsidRPr="000D0A99">
        <w:rPr>
          <w:rFonts w:eastAsia="Times New Roman"/>
          <w:color w:val="000000" w:themeColor="text1"/>
          <w:szCs w:val="20"/>
          <w:u w:color="000000" w:themeColor="text1"/>
        </w:rPr>
        <w:t xml:space="preserve"> facility </w:t>
      </w:r>
      <w:r w:rsidRPr="00A83E89">
        <w:rPr>
          <w:rFonts w:eastAsia="Times New Roman"/>
          <w:strike/>
          <w:color w:val="000000" w:themeColor="text1"/>
          <w:szCs w:val="20"/>
          <w:u w:color="000000" w:themeColor="text1"/>
        </w:rPr>
        <w:t>which</w:t>
      </w:r>
      <w:r w:rsidR="00A83E89">
        <w:rPr>
          <w:rFonts w:eastAsia="Times New Roman"/>
          <w:color w:val="000000" w:themeColor="text1"/>
          <w:szCs w:val="20"/>
          <w:u w:color="000000" w:themeColor="text1"/>
        </w:rPr>
        <w:t xml:space="preserve"> </w:t>
      </w:r>
      <w:r w:rsidR="00A83E89">
        <w:rPr>
          <w:rFonts w:eastAsia="Times New Roman"/>
          <w:color w:val="000000" w:themeColor="text1"/>
          <w:szCs w:val="20"/>
          <w:u w:val="single" w:color="000000" w:themeColor="text1"/>
        </w:rPr>
        <w:t>that</w:t>
      </w:r>
      <w:r w:rsidRPr="000D0A99">
        <w:rPr>
          <w:rFonts w:eastAsia="Times New Roman"/>
          <w:color w:val="000000" w:themeColor="text1"/>
          <w:szCs w:val="20"/>
          <w:u w:color="000000" w:themeColor="text1"/>
        </w:rPr>
        <w:t xml:space="preserve"> is licensed as a hospital.</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(2)</w:t>
      </w:r>
      <w:r w:rsidRPr="000D0A99">
        <w:rPr>
          <w:rFonts w:eastAsia="Times New Roman"/>
          <w:color w:val="000000" w:themeColor="text1"/>
          <w:szCs w:val="20"/>
          <w:u w:val="single" w:color="000000" w:themeColor="text1"/>
        </w:rPr>
        <w:t>(3)</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Board</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South Carolina Board of Health and Environmental Control.</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(3)</w:t>
      </w:r>
      <w:r w:rsidRPr="000D0A99">
        <w:rPr>
          <w:rFonts w:eastAsia="Times New Roman"/>
          <w:color w:val="000000" w:themeColor="text1"/>
          <w:szCs w:val="20"/>
          <w:u w:val="single" w:color="000000" w:themeColor="text1"/>
        </w:rPr>
        <w:t>(4)</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Certified </w:t>
      </w:r>
      <w:r w:rsidRPr="000D0A99">
        <w:rPr>
          <w:rFonts w:eastAsia="Times New Roman"/>
          <w:strike/>
          <w:color w:val="000000" w:themeColor="text1"/>
          <w:szCs w:val="20"/>
          <w:u w:color="000000" w:themeColor="text1"/>
        </w:rPr>
        <w:t>Nurse</w:t>
      </w:r>
      <w:r>
        <w:rPr>
          <w:rFonts w:eastAsia="Times New Roman"/>
          <w:strike/>
          <w:color w:val="000000" w:themeColor="text1"/>
          <w:szCs w:val="20"/>
          <w:u w:color="000000" w:themeColor="text1"/>
        </w:rPr>
        <w:noBreakHyphen/>
      </w:r>
      <w:r w:rsidRPr="000D0A99">
        <w:rPr>
          <w:rFonts w:eastAsia="Times New Roman"/>
          <w:strike/>
          <w:color w:val="000000" w:themeColor="text1"/>
          <w:szCs w:val="20"/>
          <w:u w:color="000000" w:themeColor="text1"/>
        </w:rPr>
        <w:t>Midwife</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nurse</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midwife</w:t>
      </w:r>
      <w:r w:rsidRPr="000D0A99">
        <w:rPr>
          <w:rFonts w:eastAsia="Times New Roman"/>
          <w:color w:val="000000" w:themeColor="text1"/>
          <w:szCs w:val="20"/>
          <w:u w:color="000000" w:themeColor="text1"/>
        </w:rPr>
        <w:t xml:space="preserve"> (CNM)</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 </w:t>
      </w:r>
      <w:r w:rsidRPr="000D0A99">
        <w:rPr>
          <w:rFonts w:eastAsia="Times New Roman"/>
          <w:strike/>
          <w:color w:val="000000" w:themeColor="text1"/>
          <w:szCs w:val="20"/>
          <w:u w:color="000000" w:themeColor="text1"/>
        </w:rPr>
        <w:t>person educated in the discipline of nursing and midwifery, certified by examination by the American College of Nurse</w:t>
      </w:r>
      <w:r>
        <w:rPr>
          <w:rFonts w:eastAsia="Times New Roman"/>
          <w:strike/>
          <w:color w:val="000000" w:themeColor="text1"/>
          <w:szCs w:val="20"/>
          <w:u w:color="000000" w:themeColor="text1"/>
        </w:rPr>
        <w:noBreakHyphen/>
      </w:r>
      <w:r w:rsidRPr="000D0A99">
        <w:rPr>
          <w:rFonts w:eastAsia="Times New Roman"/>
          <w:strike/>
          <w:color w:val="000000" w:themeColor="text1"/>
          <w:szCs w:val="20"/>
          <w:u w:color="000000" w:themeColor="text1"/>
        </w:rPr>
        <w:t>Midwives, and licensed by the State Board of Nursing as a Registered Nurse</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registered nurse licensed by the South Carolina Board of Nursing as an advanced practice registered nurse who possesses a current certificate issued by the American Midwifery Certification Board (AMCB) and maintains ongoing continuing education requirements by</w:t>
      </w:r>
      <w:r w:rsidR="00E358DC">
        <w:rPr>
          <w:rFonts w:eastAsia="Times New Roman"/>
          <w:color w:val="000000" w:themeColor="text1"/>
          <w:szCs w:val="20"/>
          <w:u w:val="single" w:color="000000" w:themeColor="text1"/>
        </w:rPr>
        <w:t xml:space="preserve"> the</w:t>
      </w:r>
      <w:r w:rsidRPr="000D0A99">
        <w:rPr>
          <w:rFonts w:eastAsia="Times New Roman"/>
          <w:color w:val="000000" w:themeColor="text1"/>
          <w:szCs w:val="20"/>
          <w:u w:val="single" w:color="000000" w:themeColor="text1"/>
        </w:rPr>
        <w:t xml:space="preserve"> AMCB</w:t>
      </w:r>
      <w:r>
        <w:rPr>
          <w:rFonts w:eastAsia="Times New Roman"/>
          <w:color w:val="000000" w:themeColor="text1"/>
          <w:szCs w:val="20"/>
          <w:u w:color="000000" w:themeColor="text1"/>
        </w:rPr>
        <w: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(5)</w:t>
      </w:r>
      <w:r w:rsidRPr="000D0A99">
        <w:rPr>
          <w:rFonts w:eastAsia="Times New Roman"/>
          <w:color w:val="000000" w:themeColor="text1"/>
          <w:szCs w:val="20"/>
          <w:u w:color="000000" w:themeColor="text1"/>
        </w:rPr>
        <w:tab/>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a medical doctor or doctor of osteopathy licensed by the South Carolina Board of Medicine with board certification in family medicine, obstetrics, maternal fetal medicine, pediatrics, or neonatology who can meet the needs of mothers and babies that fall outside the scope of birth center care, and who maintains active admitting privileges at a hospital within forty</w:t>
      </w:r>
      <w:r>
        <w:rPr>
          <w:rFonts w:eastAsia="Times New Roman"/>
          <w:color w:val="000000" w:themeColor="text1"/>
          <w:szCs w:val="20"/>
          <w:u w:val="single" w:color="000000" w:themeColor="text1"/>
        </w:rPr>
        <w:noBreakHyphen/>
        <w:t>five miles of the birth center.</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(4)</w:t>
      </w:r>
      <w:r w:rsidRPr="000D0A99">
        <w:rPr>
          <w:rFonts w:eastAsia="Times New Roman"/>
          <w:color w:val="000000" w:themeColor="text1"/>
          <w:szCs w:val="20"/>
          <w:u w:val="single" w:color="000000" w:themeColor="text1"/>
        </w:rPr>
        <w:t>(6)</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Department</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South Carolina Department of Health and Environmental Control.</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(5)</w:t>
      </w:r>
      <w:r w:rsidRPr="000D0A99">
        <w:rPr>
          <w:rFonts w:eastAsia="Times New Roman"/>
          <w:color w:val="000000" w:themeColor="text1"/>
          <w:szCs w:val="20"/>
          <w:u w:val="single" w:color="000000" w:themeColor="text1"/>
        </w:rPr>
        <w:t>(7)</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strike/>
          <w:color w:val="000000" w:themeColor="text1"/>
          <w:szCs w:val="20"/>
          <w:u w:color="000000" w:themeColor="text1"/>
        </w:rPr>
        <w:t>Lay</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Licensed</w:t>
      </w:r>
      <w:r w:rsidRPr="000D0A99">
        <w:rPr>
          <w:rFonts w:eastAsia="Times New Roman"/>
          <w:color w:val="000000" w:themeColor="text1"/>
          <w:szCs w:val="20"/>
          <w:u w:color="000000" w:themeColor="text1"/>
        </w:rPr>
        <w:t xml:space="preserve"> midwife</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an individual so licensed by the department </w:t>
      </w:r>
      <w:r w:rsidRPr="000D0A99">
        <w:rPr>
          <w:rFonts w:eastAsia="Times New Roman"/>
          <w:color w:val="000000" w:themeColor="text1"/>
          <w:szCs w:val="20"/>
          <w:u w:val="single" w:color="000000" w:themeColor="text1"/>
        </w:rPr>
        <w:t xml:space="preserve">who possesses a current certificate issued by the North American Registry of Midwives (NARM) and who maintains ongoing continuing education requirements by </w:t>
      </w:r>
      <w:r w:rsidR="00E358DC">
        <w:rPr>
          <w:rFonts w:eastAsia="Times New Roman"/>
          <w:color w:val="000000" w:themeColor="text1"/>
          <w:szCs w:val="20"/>
          <w:u w:val="single" w:color="000000" w:themeColor="text1"/>
        </w:rPr>
        <w:t xml:space="preserve">the </w:t>
      </w:r>
      <w:r w:rsidRPr="000D0A99">
        <w:rPr>
          <w:rFonts w:eastAsia="Times New Roman"/>
          <w:color w:val="000000" w:themeColor="text1"/>
          <w:szCs w:val="20"/>
          <w:u w:val="single" w:color="000000" w:themeColor="text1"/>
        </w:rPr>
        <w:t>NARM</w:t>
      </w:r>
      <w:r>
        <w:rPr>
          <w:rFonts w:eastAsia="Times New Roman"/>
          <w:color w:val="000000" w:themeColor="text1"/>
          <w:szCs w:val="20"/>
          <w:u w:color="000000" w:themeColor="text1"/>
        </w:rPr>
        <w: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(6)</w:t>
      </w:r>
      <w:r w:rsidRPr="000D0A99">
        <w:rPr>
          <w:rFonts w:eastAsia="Times New Roman"/>
          <w:color w:val="000000" w:themeColor="text1"/>
          <w:szCs w:val="20"/>
          <w:u w:color="000000" w:themeColor="text1"/>
        </w:rPr>
        <w:tab/>
      </w:r>
      <w:r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Low risk</w:t>
      </w:r>
      <w:r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 xml:space="preserve"> means normal, uncomplicated prenatal course as determined by adequate prenatal care and prospects for a normal, uncomplicated birth as defined by reasonable and generally accepted criteria of maternal and fetal health.</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(7)</w:t>
      </w:r>
      <w:r w:rsidRPr="000D0A99">
        <w:rPr>
          <w:rFonts w:eastAsia="Times New Roman"/>
          <w:color w:val="000000" w:themeColor="text1"/>
          <w:szCs w:val="20"/>
          <w:u w:val="single" w:color="000000" w:themeColor="text1"/>
        </w:rPr>
        <w:t>(8)</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Midwifery</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application of scientific principles in the care of </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with woman</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care during uncomplicated pregnancy, birth, and puerperium including care of the newborn, support of the family unit, and gynecologic health care.</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(9)</w:t>
      </w:r>
      <w:r w:rsidRPr="000D0A99">
        <w:rPr>
          <w:rFonts w:eastAsia="Times New Roman"/>
          <w:color w:val="000000" w:themeColor="text1"/>
          <w:szCs w:val="20"/>
          <w:u w:color="000000" w:themeColor="text1"/>
        </w:rPr>
        <w:tab/>
      </w:r>
      <w:r w:rsidRPr="001D3116">
        <w:rPr>
          <w:rFonts w:eastAsia="Times New Roman"/>
          <w:color w:val="000000" w:themeColor="text1"/>
          <w:szCs w:val="20"/>
          <w:u w:val="single" w:color="000000" w:themeColor="text1"/>
        </w:rPr>
        <w:t>‘</w:t>
      </w:r>
      <w:r w:rsidR="00E358DC">
        <w:rPr>
          <w:rFonts w:eastAsia="Times New Roman"/>
          <w:color w:val="000000" w:themeColor="text1"/>
          <w:szCs w:val="20"/>
          <w:u w:val="single" w:color="000000" w:themeColor="text1"/>
        </w:rPr>
        <w:t>National s</w:t>
      </w:r>
      <w:r w:rsidRPr="000D0A99">
        <w:rPr>
          <w:rFonts w:eastAsia="Times New Roman"/>
          <w:color w:val="000000" w:themeColor="text1"/>
          <w:szCs w:val="20"/>
          <w:u w:val="single" w:color="000000" w:themeColor="text1"/>
        </w:rPr>
        <w:t>tandards</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standards adopted by a nationally recognized birth center organization, recognized by the board, that are based on scientific evidence and reviewed by experts in midwifery, birth centers, obstetrics, and pediatrics specific</w:t>
      </w:r>
      <w:r w:rsidR="00E358DC">
        <w:rPr>
          <w:rFonts w:eastAsia="Times New Roman"/>
          <w:color w:val="000000" w:themeColor="text1"/>
          <w:szCs w:val="20"/>
          <w:u w:val="single" w:color="000000" w:themeColor="text1"/>
        </w:rPr>
        <w:t>ally</w:t>
      </w:r>
      <w:r w:rsidRPr="000D0A99">
        <w:rPr>
          <w:rFonts w:eastAsia="Times New Roman"/>
          <w:color w:val="000000" w:themeColor="text1"/>
          <w:szCs w:val="20"/>
          <w:u w:val="single" w:color="000000" w:themeColor="text1"/>
        </w:rPr>
        <w:t xml:space="preserve"> for birth center services and operation</w:t>
      </w:r>
      <w:r w:rsidR="00E358DC">
        <w:rPr>
          <w:rFonts w:eastAsia="Times New Roman"/>
          <w:color w:val="000000" w:themeColor="text1"/>
          <w:szCs w:val="20"/>
          <w:u w:val="single" w:color="000000" w:themeColor="text1"/>
        </w:rPr>
        <w:t>s</w:t>
      </w:r>
      <w:r w:rsidRPr="000D0A99">
        <w:rPr>
          <w:rFonts w:eastAsia="Times New Roman"/>
          <w:color w:val="000000" w:themeColor="text1"/>
          <w:szCs w:val="20"/>
          <w:u w:val="single" w:color="000000" w:themeColor="text1"/>
        </w:rPr>
        <w: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(8)</w:t>
      </w:r>
      <w:r w:rsidRPr="000D0A99">
        <w:rPr>
          <w:rFonts w:eastAsia="Times New Roman"/>
          <w:color w:val="000000" w:themeColor="text1"/>
          <w:szCs w:val="20"/>
          <w:u w:val="single" w:color="000000" w:themeColor="text1"/>
        </w:rPr>
        <w:t>(10)</w:t>
      </w:r>
      <w:r w:rsidRPr="000D0A99">
        <w:rPr>
          <w:rFonts w:eastAsia="Times New Roman"/>
          <w:color w:val="000000" w:themeColor="text1"/>
          <w:szCs w:val="20"/>
          <w:u w:color="000000" w:themeColor="text1"/>
        </w:rPr>
        <w:tab/>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Person</w:t>
      </w:r>
      <w:r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 natural individual, private or public organization, political subdivision, or other governmental agency.</w:t>
      </w:r>
    </w:p>
    <w:p w:rsidR="000D686C"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(9)</w:t>
      </w:r>
      <w:r w:rsidRPr="000D0A99">
        <w:rPr>
          <w:rFonts w:eastAsia="Times New Roman"/>
          <w:color w:val="000000" w:themeColor="text1"/>
          <w:szCs w:val="20"/>
          <w:u w:color="000000" w:themeColor="text1"/>
        </w:rPr>
        <w:tab/>
      </w:r>
      <w:r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Physician</w:t>
      </w:r>
      <w:r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 xml:space="preserve"> means a doctor of medicine or osteopathy with training in obstetrics or midwifery and licensed by the South Carolina State Board of Medical Examiners to practice medicine.</w:t>
      </w:r>
      <w:r w:rsidRPr="000D0A99">
        <w:rPr>
          <w:rFonts w:eastAsia="Times New Roman"/>
          <w:color w:val="000000" w:themeColor="text1"/>
          <w:szCs w:val="20"/>
          <w:u w:color="000000" w:themeColor="text1"/>
        </w:rPr>
        <w:t>”</w:t>
      </w:r>
    </w:p>
    <w:p w:rsidR="008A7C41"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A7C41"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sidRPr="00E67BFA">
        <w:rPr>
          <w:rFonts w:eastAsia="Times New Roman"/>
          <w:szCs w:val="20"/>
          <w:u w:color="000000" w:themeColor="text1"/>
        </w:rPr>
        <w:t>Section 44</w:t>
      </w:r>
      <w:r>
        <w:rPr>
          <w:rFonts w:eastAsia="Times New Roman"/>
          <w:szCs w:val="20"/>
          <w:u w:color="000000" w:themeColor="text1"/>
        </w:rPr>
        <w:noBreakHyphen/>
      </w:r>
      <w:r w:rsidRPr="00E67BFA">
        <w:rPr>
          <w:rFonts w:eastAsia="Times New Roman"/>
          <w:szCs w:val="20"/>
          <w:u w:color="000000" w:themeColor="text1"/>
        </w:rPr>
        <w:t>89</w:t>
      </w:r>
      <w:r>
        <w:rPr>
          <w:rFonts w:eastAsia="Times New Roman"/>
          <w:szCs w:val="20"/>
          <w:u w:color="000000" w:themeColor="text1"/>
        </w:rPr>
        <w:noBreakHyphen/>
      </w:r>
      <w:r w:rsidRPr="00E67BFA">
        <w:rPr>
          <w:rFonts w:eastAsia="Times New Roman"/>
          <w:szCs w:val="20"/>
          <w:u w:color="000000" w:themeColor="text1"/>
        </w:rPr>
        <w:t>60 of the 1976 Code is amended to read:</w:t>
      </w:r>
    </w:p>
    <w:p w:rsidR="008A7C41" w:rsidRPr="00E67BFA"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trike/>
          <w:szCs w:val="20"/>
        </w:rPr>
      </w:pPr>
      <w:r w:rsidRPr="00E67BFA">
        <w:rPr>
          <w:rFonts w:eastAsia="Times New Roman"/>
          <w:szCs w:val="20"/>
          <w:u w:color="000000" w:themeColor="text1"/>
        </w:rPr>
        <w:tab/>
      </w:r>
      <w:r w:rsidRPr="000D0A99">
        <w:rPr>
          <w:rFonts w:eastAsia="Times New Roman"/>
          <w:color w:val="000000" w:themeColor="text1"/>
          <w:szCs w:val="20"/>
          <w:u w:color="000000" w:themeColor="text1"/>
        </w:rPr>
        <w:t>“Section 44</w:t>
      </w:r>
      <w:r>
        <w:rPr>
          <w:rFonts w:eastAsia="Times New Roman"/>
          <w:color w:val="000000" w:themeColor="text1"/>
          <w:szCs w:val="20"/>
          <w:u w:color="000000" w:themeColor="text1"/>
        </w:rPr>
        <w:noBreakHyphen/>
      </w:r>
      <w:r w:rsidRPr="000D0A99">
        <w:rPr>
          <w:rFonts w:eastAsia="Times New Roman"/>
          <w:color w:val="000000" w:themeColor="text1"/>
          <w:szCs w:val="20"/>
          <w:u w:color="000000" w:themeColor="text1"/>
        </w:rPr>
        <w:t>89</w:t>
      </w:r>
      <w:r>
        <w:rPr>
          <w:rFonts w:eastAsia="Times New Roman"/>
          <w:color w:val="000000" w:themeColor="text1"/>
          <w:szCs w:val="20"/>
          <w:u w:color="000000" w:themeColor="text1"/>
        </w:rPr>
        <w:noBreakHyphen/>
      </w:r>
      <w:r w:rsidRPr="000D0A99">
        <w:rPr>
          <w:rFonts w:eastAsia="Times New Roman"/>
          <w:color w:val="000000" w:themeColor="text1"/>
          <w:szCs w:val="20"/>
          <w:u w:color="000000" w:themeColor="text1"/>
        </w:rPr>
        <w:t>60.</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(A)(1)</w:t>
      </w:r>
      <w:r w:rsidRPr="000D0A99">
        <w:rPr>
          <w:rFonts w:eastAsia="Times New Roman"/>
          <w:color w:val="000000" w:themeColor="text1"/>
          <w:szCs w:val="20"/>
          <w:u w:color="000000" w:themeColor="text1"/>
        </w:rPr>
        <w:tab/>
      </w:r>
      <w:r w:rsidRPr="000D0A99">
        <w:rPr>
          <w:rFonts w:eastAsia="Times New Roman"/>
          <w:szCs w:val="20"/>
        </w:rPr>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Pr="000D0A99">
        <w:rPr>
          <w:rFonts w:eastAsia="Times New Roman"/>
          <w:strike/>
          <w:szCs w:val="20"/>
        </w:rPr>
        <w:t>The regulations must include, but not be limited to, the following requirements:</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(1)</w:t>
      </w:r>
      <w:r w:rsidRPr="000D0A99">
        <w:rPr>
          <w:rFonts w:eastAsia="Times New Roman"/>
          <w:szCs w:val="20"/>
        </w:rPr>
        <w:tab/>
      </w:r>
      <w:r w:rsidRPr="000D0A99">
        <w:rPr>
          <w:rFonts w:eastAsia="Times New Roman"/>
          <w:strike/>
          <w:szCs w:val="20"/>
        </w:rPr>
        <w:t>Births planned to occur at a birthing center must be restricted to low</w:t>
      </w:r>
      <w:r>
        <w:rPr>
          <w:rFonts w:eastAsia="Times New Roman"/>
          <w:strike/>
          <w:szCs w:val="20"/>
        </w:rPr>
        <w:noBreakHyphen/>
      </w:r>
      <w:r w:rsidRPr="000D0A99">
        <w:rPr>
          <w:rFonts w:eastAsia="Times New Roman"/>
          <w:strike/>
          <w:szCs w:val="20"/>
        </w:rPr>
        <w:t>risk births following normal, uncomplicated pregnancy.</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(2)</w:t>
      </w:r>
      <w:r w:rsidRPr="000D0A99">
        <w:rPr>
          <w:rFonts w:eastAsia="Times New Roman"/>
          <w:szCs w:val="20"/>
        </w:rPr>
        <w:tab/>
      </w:r>
      <w:r w:rsidRPr="000D0A99">
        <w:rPr>
          <w:rFonts w:eastAsia="Times New Roman"/>
          <w:strike/>
          <w:szCs w:val="20"/>
        </w:rPr>
        <w:t>Birthing centers shall provide care by physicians, certified nurse</w:t>
      </w:r>
      <w:r>
        <w:rPr>
          <w:rFonts w:eastAsia="Times New Roman"/>
          <w:strike/>
          <w:szCs w:val="20"/>
        </w:rPr>
        <w:noBreakHyphen/>
      </w:r>
      <w:r w:rsidRPr="000D0A99">
        <w:rPr>
          <w:rFonts w:eastAsia="Times New Roman"/>
          <w:strike/>
          <w:szCs w:val="20"/>
        </w:rPr>
        <w:t>midwives, or licensed lay</w:t>
      </w:r>
      <w:r>
        <w:rPr>
          <w:rFonts w:eastAsia="Times New Roman"/>
          <w:strike/>
          <w:szCs w:val="20"/>
        </w:rPr>
        <w:noBreakHyphen/>
      </w:r>
      <w:r w:rsidRPr="000D0A99">
        <w:rPr>
          <w:rFonts w:eastAsia="Times New Roman"/>
          <w:strike/>
          <w:szCs w:val="20"/>
        </w:rPr>
        <w:t>midwives to childbearing women during pregnancy, birth, and puerperium.</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(3)</w:t>
      </w:r>
      <w:r w:rsidRPr="000D0A99">
        <w:rPr>
          <w:rFonts w:eastAsia="Times New Roman"/>
          <w:szCs w:val="20"/>
        </w:rPr>
        <w:tab/>
      </w:r>
      <w:r w:rsidRPr="000D0A99">
        <w:rPr>
          <w:rFonts w:eastAsia="Times New Roman"/>
          <w:strike/>
          <w:szCs w:val="20"/>
        </w:rPr>
        <w:t>A physician must be on call and available to provide medical assistance at the birthing center at all times that it is serving the public.</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(4)</w:t>
      </w:r>
      <w:r w:rsidRPr="000D0A99">
        <w:rPr>
          <w:rFonts w:eastAsia="Times New Roman"/>
          <w:szCs w:val="20"/>
        </w:rPr>
        <w:tab/>
      </w:r>
      <w:r w:rsidRPr="000D0A99">
        <w:rPr>
          <w:rFonts w:eastAsia="Times New Roman"/>
          <w:strike/>
          <w:szCs w:val="20"/>
        </w:rPr>
        <w:t>A physician shall make a written determination that the planned birth is low risk.</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D0A99">
        <w:rPr>
          <w:rFonts w:eastAsia="Times New Roman"/>
          <w:szCs w:val="20"/>
        </w:rPr>
        <w:tab/>
      </w:r>
      <w:r w:rsidRPr="000D0A99">
        <w:rPr>
          <w:rFonts w:eastAsia="Times New Roman"/>
          <w:szCs w:val="20"/>
        </w:rPr>
        <w:tab/>
      </w:r>
      <w:r w:rsidRPr="000D0A99">
        <w:rPr>
          <w:rFonts w:eastAsia="Times New Roman"/>
          <w:szCs w:val="20"/>
          <w:u w:val="single"/>
        </w:rPr>
        <w:t>(2)</w:t>
      </w:r>
      <w:r w:rsidRPr="000D0A99">
        <w:rPr>
          <w:rFonts w:eastAsia="Times New Roman"/>
          <w:szCs w:val="20"/>
        </w:rPr>
        <w:tab/>
        <w:t xml:space="preserve">The regulations also must provide that </w:t>
      </w:r>
      <w:r w:rsidRPr="000D0A99">
        <w:rPr>
          <w:rFonts w:eastAsia="Times New Roman"/>
          <w:strike/>
          <w:szCs w:val="20"/>
        </w:rPr>
        <w:t>any birthing</w:t>
      </w:r>
      <w:r w:rsidRPr="000D0A99">
        <w:rPr>
          <w:rFonts w:eastAsia="Times New Roman"/>
          <w:szCs w:val="20"/>
        </w:rPr>
        <w:t xml:space="preserve"> </w:t>
      </w:r>
      <w:r w:rsidRPr="000D0A99">
        <w:rPr>
          <w:rFonts w:eastAsia="Times New Roman"/>
          <w:szCs w:val="20"/>
          <w:u w:val="single"/>
        </w:rPr>
        <w:t>a birth</w:t>
      </w:r>
      <w:r w:rsidRPr="000D0A99">
        <w:rPr>
          <w:rFonts w:eastAsia="Times New Roman"/>
          <w:szCs w:val="20"/>
        </w:rPr>
        <w:t xml:space="preserve"> center </w:t>
      </w:r>
      <w:r w:rsidRPr="00781BA1">
        <w:rPr>
          <w:rFonts w:eastAsia="Times New Roman"/>
          <w:strike/>
          <w:szCs w:val="20"/>
        </w:rPr>
        <w:t>which</w:t>
      </w:r>
      <w:r w:rsidRPr="000D0A99">
        <w:rPr>
          <w:rFonts w:eastAsia="Times New Roman"/>
          <w:szCs w:val="20"/>
        </w:rPr>
        <w:t xml:space="preserve"> </w:t>
      </w:r>
      <w:r w:rsidR="00781BA1">
        <w:rPr>
          <w:rFonts w:eastAsia="Times New Roman"/>
          <w:szCs w:val="20"/>
          <w:u w:val="single"/>
        </w:rPr>
        <w:t>that</w:t>
      </w:r>
      <w:r w:rsidR="00781BA1">
        <w:rPr>
          <w:rFonts w:eastAsia="Times New Roman"/>
          <w:szCs w:val="20"/>
        </w:rPr>
        <w:t xml:space="preserve"> </w:t>
      </w:r>
      <w:r w:rsidRPr="000D0A99">
        <w:rPr>
          <w:rFonts w:eastAsia="Times New Roman"/>
          <w:szCs w:val="20"/>
        </w:rPr>
        <w:t>is in operation at the time of promulgation of these regulations is given a reasonable period of time, not to exceed one year from the date of the promulgation, within which t</w:t>
      </w:r>
      <w:r>
        <w:rPr>
          <w:rFonts w:eastAsia="Times New Roman"/>
          <w:szCs w:val="20"/>
        </w:rPr>
        <w:t xml:space="preserve">o comply with the regulations. </w:t>
      </w:r>
      <w:r w:rsidRPr="000D0A99">
        <w:rPr>
          <w:rFonts w:eastAsia="Times New Roman"/>
          <w:szCs w:val="20"/>
          <w:u w:val="single"/>
        </w:rPr>
        <w:t>A new birth center not in operation at the time of promulgation of the regulations shall submit to the department an application for accreditation with the license application and shall provide proof of accreditation within one year of submitting the application.</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 xml:space="preserve">In order to be licensed by and to operate in this State, a birth center must be accredited by a birth center accrediting organization approved by the department </w:t>
      </w:r>
      <w:r w:rsidR="00781BA1">
        <w:rPr>
          <w:rFonts w:eastAsia="Times New Roman"/>
          <w:color w:val="000000" w:themeColor="text1"/>
          <w:szCs w:val="20"/>
          <w:u w:val="single" w:color="000000" w:themeColor="text1"/>
        </w:rPr>
        <w:t>which</w:t>
      </w:r>
      <w:r w:rsidRPr="000D0A99">
        <w:rPr>
          <w:rFonts w:eastAsia="Times New Roman"/>
          <w:color w:val="000000" w:themeColor="text1"/>
          <w:szCs w:val="20"/>
          <w:u w:val="single" w:color="000000" w:themeColor="text1"/>
        </w:rPr>
        <w:t xml:space="preserve"> determines accreditation based on the birth center</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compliance with national standards for birth centers. A birth center accredited pursuant to this subsection is deemed to be in compliance with all requirements for licensure by the State and shall operate in accordance with all appli</w:t>
      </w:r>
      <w:r>
        <w:rPr>
          <w:rFonts w:eastAsia="Times New Roman"/>
          <w:color w:val="000000" w:themeColor="text1"/>
          <w:szCs w:val="20"/>
          <w:u w:val="single" w:color="000000" w:themeColor="text1"/>
        </w:rPr>
        <w:t>cable statutes and regulations.</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(C)(1)</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shall have a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 available in person or by telecommunication at all times the center is conducting business</w:t>
      </w:r>
      <w:r w:rsidR="00781BA1">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to provide consultation regarding medical management and/or to accept transfers of mothers and babies who require care outside of the scope of the birth center. All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shall serve on the center</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advisory council and must provide written approval on policy and procedures before adoption. Contact information for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must be made available to the department.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policy and procedu</w:t>
      </w:r>
      <w:r>
        <w:rPr>
          <w:rFonts w:eastAsia="Times New Roman"/>
          <w:color w:val="000000" w:themeColor="text1"/>
          <w:szCs w:val="20"/>
          <w:u w:val="single" w:color="000000" w:themeColor="text1"/>
        </w:rPr>
        <w:t>res must require, at a minimum:</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births planned to occur at a birth center must be evaluated for risk status by a member of the center</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s professional staff. </w:t>
      </w:r>
      <w:r w:rsidR="00781BA1">
        <w:rPr>
          <w:rFonts w:eastAsia="Times New Roman"/>
          <w:color w:val="000000" w:themeColor="text1"/>
          <w:szCs w:val="20"/>
          <w:u w:val="single" w:color="000000" w:themeColor="text1"/>
        </w:rPr>
        <w:t>E</w:t>
      </w:r>
      <w:r w:rsidRPr="000D0A99">
        <w:rPr>
          <w:rFonts w:eastAsia="Times New Roman"/>
          <w:color w:val="000000" w:themeColor="text1"/>
          <w:szCs w:val="20"/>
          <w:u w:val="single" w:color="000000" w:themeColor="text1"/>
        </w:rPr>
        <w:t>valuations in the health record</w:t>
      </w:r>
      <w:r w:rsidR="00781BA1">
        <w:rPr>
          <w:rFonts w:eastAsia="Times New Roman"/>
          <w:color w:val="000000" w:themeColor="text1"/>
          <w:szCs w:val="20"/>
          <w:u w:val="single" w:color="000000" w:themeColor="text1"/>
        </w:rPr>
        <w:t>s</w:t>
      </w:r>
      <w:r w:rsidRPr="000D0A99">
        <w:rPr>
          <w:rFonts w:eastAsia="Times New Roman"/>
          <w:color w:val="000000" w:themeColor="text1"/>
          <w:szCs w:val="20"/>
          <w:u w:val="single" w:color="000000" w:themeColor="text1"/>
        </w:rPr>
        <w:t xml:space="preserve"> </w:t>
      </w:r>
      <w:r w:rsidR="00781BA1">
        <w:rPr>
          <w:rFonts w:eastAsia="Times New Roman"/>
          <w:color w:val="000000" w:themeColor="text1"/>
          <w:szCs w:val="20"/>
          <w:u w:val="single" w:color="000000" w:themeColor="text1"/>
        </w:rPr>
        <w:t>for</w:t>
      </w:r>
      <w:r w:rsidRPr="000D0A99">
        <w:rPr>
          <w:rFonts w:eastAsia="Times New Roman"/>
          <w:color w:val="000000" w:themeColor="text1"/>
          <w:szCs w:val="20"/>
          <w:u w:val="single" w:color="000000" w:themeColor="text1"/>
        </w:rPr>
        <w:t xml:space="preserve"> each client must include, but are not limited to, an evaluation of formal risk status on initial evaluation, at each trimeste</w:t>
      </w:r>
      <w:r>
        <w:rPr>
          <w:rFonts w:eastAsia="Times New Roman"/>
          <w:color w:val="000000" w:themeColor="text1"/>
          <w:szCs w:val="20"/>
          <w:u w:val="single" w:color="000000" w:themeColor="text1"/>
        </w:rPr>
        <w:t>r, and upon admission in labor;</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 professional staff must be licensed in this State as a certified nurse</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midwife, licensed midwife, or physician with board certification in family medicine, obstetrics, maternal fetal medicine, pediatrics, or neonatology; and</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 xml:space="preserve">practice guidelines and policies for birth center professional staff must address </w:t>
      </w:r>
      <w:r w:rsidR="00781BA1">
        <w:rPr>
          <w:rFonts w:eastAsia="Times New Roman"/>
          <w:color w:val="000000" w:themeColor="text1"/>
          <w:szCs w:val="20"/>
          <w:u w:val="single" w:color="000000" w:themeColor="text1"/>
        </w:rPr>
        <w:t xml:space="preserve">the </w:t>
      </w:r>
      <w:r w:rsidRPr="000D0A99">
        <w:rPr>
          <w:rFonts w:eastAsia="Times New Roman"/>
          <w:color w:val="000000" w:themeColor="text1"/>
          <w:szCs w:val="20"/>
          <w:u w:val="single" w:color="000000" w:themeColor="text1"/>
        </w:rPr>
        <w:t>knowledge, skills, and professional credentials required to provide services offered by the center. These practice guidelines must be furnished to the department upon request.</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(D)(1)</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 birth center shall document in its practice guidelines and policies the process for transfer of care to an acute care hospital with obste</w:t>
      </w:r>
      <w:r>
        <w:rPr>
          <w:rFonts w:eastAsia="Times New Roman"/>
          <w:color w:val="000000" w:themeColor="text1"/>
          <w:szCs w:val="20"/>
          <w:u w:val="single" w:color="000000" w:themeColor="text1"/>
        </w:rPr>
        <w:t>trical and/or newborn services.</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 transfer guidelines must include, at a minimum, a procedure for both emergent and non</w:t>
      </w:r>
      <w:r w:rsidR="0044257C">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emergent transfer of a laboring woman, a </w:t>
      </w:r>
      <w:r w:rsidR="0044257C">
        <w:rPr>
          <w:rFonts w:eastAsia="Times New Roman"/>
          <w:color w:val="000000" w:themeColor="text1"/>
          <w:szCs w:val="20"/>
          <w:u w:val="single" w:color="000000" w:themeColor="text1"/>
        </w:rPr>
        <w:t>postpartum woman, and a newborn; indications for transport;</w:t>
      </w:r>
      <w:r w:rsidRPr="000D0A99">
        <w:rPr>
          <w:rFonts w:eastAsia="Times New Roman"/>
          <w:color w:val="000000" w:themeColor="text1"/>
          <w:szCs w:val="20"/>
          <w:u w:val="single" w:color="000000" w:themeColor="text1"/>
        </w:rPr>
        <w:t xml:space="preserve"> plans for communication with accepting physicians and hospital staff</w:t>
      </w:r>
      <w:r w:rsidR="0044257C">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and plans for ongoing post</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transport communications between the birth center and the</w:t>
      </w:r>
      <w:r>
        <w:rPr>
          <w:rFonts w:eastAsia="Times New Roman"/>
          <w:color w:val="000000" w:themeColor="text1"/>
          <w:szCs w:val="20"/>
          <w:u w:val="single" w:color="000000" w:themeColor="text1"/>
        </w:rPr>
        <w:t xml:space="preserve"> receiving acute care hospital.</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(3)</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w:t>
      </w:r>
      <w:r w:rsidR="0044257C">
        <w:rPr>
          <w:rFonts w:eastAsia="Times New Roman"/>
          <w:color w:val="000000" w:themeColor="text1"/>
          <w:szCs w:val="20"/>
          <w:u w:val="single" w:color="000000" w:themeColor="text1"/>
        </w:rPr>
        <w:t>plan for postpartum follow-</w:t>
      </w:r>
      <w:r>
        <w:rPr>
          <w:rFonts w:eastAsia="Times New Roman"/>
          <w:color w:val="000000" w:themeColor="text1"/>
          <w:szCs w:val="20"/>
          <w:u w:val="single" w:color="000000" w:themeColor="text1"/>
        </w:rPr>
        <w:t>up.</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(4)</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Contact information for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transport services, acute care hospitals with obstetric and newborn services, and any other relevant emergency transport services must be posted prominently in the birth center and made available to all clients.</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(E)</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shall establish an advisory committee comprised of the center</w:t>
      </w:r>
      <w:r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clinical staff and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 xml:space="preserve">call physicians to meet at least biannually. The committee responsibilities include, but are not limited to, review of all transfers, practice guidelines, and policy and procedures. Physicians and the administration of a transferring facility which has received a transfer from the birth center in the previous twelve months </w:t>
      </w:r>
      <w:r w:rsidR="0044257C">
        <w:rPr>
          <w:rFonts w:eastAsia="Times New Roman"/>
          <w:color w:val="000000" w:themeColor="text1"/>
          <w:szCs w:val="20"/>
          <w:u w:val="single" w:color="000000" w:themeColor="text1"/>
        </w:rPr>
        <w:t>shall</w:t>
      </w:r>
      <w:r w:rsidRPr="000D0A99">
        <w:rPr>
          <w:rFonts w:eastAsia="Times New Roman"/>
          <w:color w:val="000000" w:themeColor="text1"/>
          <w:szCs w:val="20"/>
          <w:u w:val="single" w:color="000000" w:themeColor="text1"/>
        </w:rPr>
        <w:t xml:space="preserve"> be encouraged and invited to participate.</w:t>
      </w:r>
    </w:p>
    <w:p w:rsidR="008A7C41" w:rsidRPr="000D0A99"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(F)</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If a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 acts without malice, has made reasonable efforts to obtain the facts relating to the issue presented to him, and acts in the belief that the action taken is warranted by the facts known to him, the physician is not liable to a birth center for civi</w:t>
      </w:r>
      <w:r w:rsidR="00A8783A">
        <w:rPr>
          <w:rFonts w:eastAsia="Times New Roman"/>
          <w:color w:val="000000" w:themeColor="text1"/>
          <w:szCs w:val="20"/>
          <w:u w:val="single" w:color="000000" w:themeColor="text1"/>
        </w:rPr>
        <w:t>l damages or criminal penalties</w:t>
      </w:r>
      <w:r w:rsidRPr="000D0A99">
        <w:rPr>
          <w:rFonts w:eastAsia="Times New Roman"/>
          <w:color w:val="000000" w:themeColor="text1"/>
          <w:szCs w:val="20"/>
          <w:u w:val="single" w:color="000000" w:themeColor="text1"/>
        </w:rPr>
        <w:t xml:space="preserve"> and is not subject to civ</w:t>
      </w:r>
      <w:r w:rsidR="00A8783A">
        <w:rPr>
          <w:rFonts w:eastAsia="Times New Roman"/>
          <w:color w:val="000000" w:themeColor="text1"/>
          <w:szCs w:val="20"/>
          <w:u w:val="single" w:color="000000" w:themeColor="text1"/>
        </w:rPr>
        <w:t>il suit or criminal prosecution</w:t>
      </w:r>
      <w:r w:rsidRPr="000D0A99">
        <w:rPr>
          <w:rFonts w:eastAsia="Times New Roman"/>
          <w:color w:val="000000" w:themeColor="text1"/>
          <w:szCs w:val="20"/>
          <w:u w:val="single" w:color="000000" w:themeColor="text1"/>
        </w:rPr>
        <w:t xml:space="preserve"> as a result of acts or omissions arising out of the provision of services by the consultant on</w:t>
      </w:r>
      <w:r>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w:t>
      </w:r>
      <w:r w:rsidR="00A8783A">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pursuant to this section or So</w:t>
      </w:r>
      <w:r>
        <w:rPr>
          <w:rFonts w:eastAsia="Times New Roman"/>
          <w:color w:val="000000" w:themeColor="text1"/>
          <w:szCs w:val="20"/>
          <w:u w:val="single" w:color="000000" w:themeColor="text1"/>
        </w:rPr>
        <w:t>uth Carolina Regulation 61</w:t>
      </w:r>
      <w:r>
        <w:rPr>
          <w:rFonts w:eastAsia="Times New Roman"/>
          <w:color w:val="000000" w:themeColor="text1"/>
          <w:szCs w:val="20"/>
          <w:u w:val="single" w:color="000000" w:themeColor="text1"/>
        </w:rPr>
        <w:noBreakHyphen/>
        <w:t>102.</w:t>
      </w:r>
    </w:p>
    <w:p w:rsidR="008A7C41" w:rsidRDefault="008A7C41" w:rsidP="008A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(G)</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sidRPr="000D0A99">
        <w:rPr>
          <w:rFonts w:eastAsia="Times New Roman"/>
          <w:color w:val="000000" w:themeColor="text1"/>
          <w:szCs w:val="20"/>
          <w:u w:color="000000" w:themeColor="text1"/>
        </w:rPr>
        <w:t>”</w:t>
      </w:r>
    </w:p>
    <w:p w:rsidR="000D686C" w:rsidRDefault="000D6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86C" w:rsidRPr="00522CE0" w:rsidRDefault="000D6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A7C41">
        <w:rPr>
          <w:rFonts w:eastAsia="Times New Roman"/>
        </w:rPr>
        <w:t>3</w:t>
      </w:r>
      <w:r>
        <w:rPr>
          <w:rFonts w:eastAsia="Times New Roman"/>
        </w:rPr>
        <w:t>.</w:t>
      </w:r>
      <w:r>
        <w:rPr>
          <w:rFonts w:eastAsia="Times New Roman"/>
        </w:rPr>
        <w:tab/>
        <w:t>This act takes effect upon approval by the Governor.</w:t>
      </w:r>
    </w:p>
    <w:p w:rsidR="00640A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94E1E" w:rsidRDefault="00794E1E" w:rsidP="00794E1E">
      <w:pPr>
        <w:suppressAutoHyphens/>
        <w:jc w:val="both"/>
        <w:rPr>
          <w:rFonts w:eastAsia="Times New Roman"/>
        </w:rPr>
      </w:pPr>
    </w:p>
    <w:sectPr w:rsidR="00794E1E" w:rsidSect="00794E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C41" w:rsidRDefault="008A7C41" w:rsidP="00522CE0">
      <w:r>
        <w:separator/>
      </w:r>
    </w:p>
  </w:endnote>
  <w:endnote w:type="continuationSeparator" w:id="0">
    <w:p w:rsidR="008A7C41" w:rsidRDefault="008A7C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054E46-0188-416E-8376-2F0E8A85F8CC}"/>
    <w:embedBold r:id="rId2" w:fontKey="{E86D8721-1DEE-44E4-8272-B7453F1A9AB8}"/>
  </w:font>
  <w:font w:name="Calibri">
    <w:panose1 w:val="020F0502020204030204"/>
    <w:charset w:val="00"/>
    <w:family w:val="swiss"/>
    <w:pitch w:val="variable"/>
    <w:sig w:usb0="E00002FF" w:usb1="4000ACFF" w:usb2="00000001" w:usb3="00000000" w:csb0="0000019F" w:csb1="00000000"/>
    <w:embedRegular r:id="rId3" w:fontKey="{D78D49AA-335F-4331-B3D3-CA5D9B527E26}"/>
    <w:embedBold r:id="rId4" w:fontKey="{1D633F72-43F8-45C3-9B79-A3E44D57EAFB}"/>
  </w:font>
  <w:font w:name="Cambria">
    <w:panose1 w:val="02040503050406030204"/>
    <w:charset w:val="00"/>
    <w:family w:val="roman"/>
    <w:pitch w:val="variable"/>
    <w:sig w:usb0="E00002FF" w:usb1="400004FF" w:usb2="00000000" w:usb3="00000000" w:csb0="0000019F" w:csb1="00000000"/>
    <w:embedRegular r:id="rId5" w:fontKey="{37243EF6-5902-487E-B744-78B867DCDC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E1E" w:rsidRPr="005960B4" w:rsidRDefault="00794E1E" w:rsidP="005960B4">
    <w:pPr>
      <w:pStyle w:val="Footer"/>
      <w:tabs>
        <w:tab w:val="clear" w:pos="4680"/>
        <w:tab w:val="clear" w:pos="9360"/>
        <w:tab w:val="center" w:pos="2995"/>
      </w:tabs>
      <w:spacing w:before="120"/>
    </w:pPr>
    <w:r>
      <w:t>[242]</w:t>
    </w:r>
    <w:r>
      <w:tab/>
    </w:r>
    <w:r>
      <w:fldChar w:fldCharType="begin"/>
    </w:r>
    <w:r>
      <w:instrText xml:space="preserve"> PAGE  \* MERGEFORMAT </w:instrText>
    </w:r>
    <w:r>
      <w:fldChar w:fldCharType="separate"/>
    </w:r>
    <w:r w:rsidR="00C07E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C41" w:rsidRDefault="008A7C41" w:rsidP="00522CE0">
      <w:r>
        <w:separator/>
      </w:r>
    </w:p>
  </w:footnote>
  <w:footnote w:type="continuationSeparator" w:id="0">
    <w:p w:rsidR="008A7C41" w:rsidRDefault="008A7C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BIRT.DMR.LKG"/>
    <w:docVar w:name="CoverAttorneyInitials" w:val="DMR"/>
    <w:docVar w:name="CoverAttorneyLastName" w:val="Daina Riley"/>
    <w:docVar w:name="CoverBillType" w:val="b"/>
    <w:docVar w:name="CoverSenator" w:val="LKG"/>
    <w:docVar w:name="dvBillNumber" w:val="242"/>
    <w:docVar w:name="dvBillNumberPrefix" w:val="S. "/>
    <w:docVar w:name="dvOriginalBody" w:val="Senate"/>
    <w:docVar w:name="fulldraftpath" w:val="L:\S-RES\LKG\004BIRT.DMR.LKG.DOCX"/>
    <w:docVar w:name="NameofBody" w:val="S"/>
    <w:docVar w:name="vgroup2" w:val="S-RES"/>
  </w:docVars>
  <w:rsids>
    <w:rsidRoot w:val="000D686C"/>
    <w:rsid w:val="00042AC1"/>
    <w:rsid w:val="00046516"/>
    <w:rsid w:val="00072458"/>
    <w:rsid w:val="0007601D"/>
    <w:rsid w:val="000B0720"/>
    <w:rsid w:val="000B5EAF"/>
    <w:rsid w:val="000D686C"/>
    <w:rsid w:val="001315B2"/>
    <w:rsid w:val="00170561"/>
    <w:rsid w:val="00186AC9"/>
    <w:rsid w:val="00197DF1"/>
    <w:rsid w:val="001B3DD9"/>
    <w:rsid w:val="001B7E5D"/>
    <w:rsid w:val="001D3BAC"/>
    <w:rsid w:val="00215EB6"/>
    <w:rsid w:val="00216025"/>
    <w:rsid w:val="0024082F"/>
    <w:rsid w:val="00245C4E"/>
    <w:rsid w:val="002C1321"/>
    <w:rsid w:val="002C2031"/>
    <w:rsid w:val="002C5896"/>
    <w:rsid w:val="002D3BED"/>
    <w:rsid w:val="00307C2B"/>
    <w:rsid w:val="00315D04"/>
    <w:rsid w:val="00383247"/>
    <w:rsid w:val="003979FF"/>
    <w:rsid w:val="003D6E2B"/>
    <w:rsid w:val="003E7597"/>
    <w:rsid w:val="003F2760"/>
    <w:rsid w:val="00413EBF"/>
    <w:rsid w:val="0044020F"/>
    <w:rsid w:val="0044257C"/>
    <w:rsid w:val="00450668"/>
    <w:rsid w:val="00454138"/>
    <w:rsid w:val="004813A2"/>
    <w:rsid w:val="004952FA"/>
    <w:rsid w:val="004B6A22"/>
    <w:rsid w:val="004D7F37"/>
    <w:rsid w:val="00522CE0"/>
    <w:rsid w:val="00541951"/>
    <w:rsid w:val="00565148"/>
    <w:rsid w:val="00570403"/>
    <w:rsid w:val="00593361"/>
    <w:rsid w:val="005960B4"/>
    <w:rsid w:val="005A413B"/>
    <w:rsid w:val="005A5017"/>
    <w:rsid w:val="005A648C"/>
    <w:rsid w:val="005F07AC"/>
    <w:rsid w:val="005F1745"/>
    <w:rsid w:val="00640A9D"/>
    <w:rsid w:val="006A1802"/>
    <w:rsid w:val="006C0CBB"/>
    <w:rsid w:val="006C74EA"/>
    <w:rsid w:val="006D0F71"/>
    <w:rsid w:val="006D76A0"/>
    <w:rsid w:val="00720D40"/>
    <w:rsid w:val="007318D4"/>
    <w:rsid w:val="00765784"/>
    <w:rsid w:val="00781BA1"/>
    <w:rsid w:val="00794E1E"/>
    <w:rsid w:val="007A4390"/>
    <w:rsid w:val="007E5CB7"/>
    <w:rsid w:val="00820240"/>
    <w:rsid w:val="008314D2"/>
    <w:rsid w:val="00870F6F"/>
    <w:rsid w:val="008A7C4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3E89"/>
    <w:rsid w:val="00A86015"/>
    <w:rsid w:val="00A8783A"/>
    <w:rsid w:val="00A9594E"/>
    <w:rsid w:val="00AE59C8"/>
    <w:rsid w:val="00B10098"/>
    <w:rsid w:val="00B5790D"/>
    <w:rsid w:val="00B945C5"/>
    <w:rsid w:val="00BA20EA"/>
    <w:rsid w:val="00BB5AFC"/>
    <w:rsid w:val="00BC0A56"/>
    <w:rsid w:val="00BD2B71"/>
    <w:rsid w:val="00BF4FB1"/>
    <w:rsid w:val="00C07E5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8DC"/>
    <w:rsid w:val="00E76AD9"/>
    <w:rsid w:val="00E91E2F"/>
    <w:rsid w:val="00EA3546"/>
    <w:rsid w:val="00EB47AE"/>
    <w:rsid w:val="00EC34E1"/>
    <w:rsid w:val="00F0234A"/>
    <w:rsid w:val="00F05CF2"/>
    <w:rsid w:val="00F51241"/>
    <w:rsid w:val="00F52959"/>
    <w:rsid w:val="00F531F1"/>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FD25280-2BE9-49B4-8782-C148E7D5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4E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2&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42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1623</Words>
  <Characters>9134</Characters>
  <Application>Microsoft Office Word</Application>
  <DocSecurity>0</DocSecurity>
  <Lines>230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242: Medical definitions - South Carolina Legislature Online</dc:title>
  <dc:subject/>
  <dc:creator>%USERNAME%</dc:creator>
  <cp:keywords/>
  <dc:description/>
  <cp:lastModifiedBy>S Volk</cp:lastModifiedBy>
  <cp:revision>2</cp:revision>
  <dcterms:created xsi:type="dcterms:W3CDTF">2017-01-13T21:55:00Z</dcterms:created>
  <dcterms:modified xsi:type="dcterms:W3CDTF">2017-01-13T21:55:00Z</dcterms:modified>
</cp:coreProperties>
</file>