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DAA" w:rsidRDefault="00E63DAA" w:rsidP="00E63DAA">
      <w:pPr>
        <w:widowControl w:val="0"/>
        <w:jc w:val="center"/>
      </w:pPr>
      <w:r w:rsidRPr="00E63DAA">
        <w:rPr>
          <w:b/>
        </w:rPr>
        <w:t>South Carolina General Assembly</w:t>
      </w:r>
    </w:p>
    <w:p w:rsidR="00E63DAA" w:rsidRDefault="00E63DAA" w:rsidP="00E63DAA">
      <w:pPr>
        <w:widowControl w:val="0"/>
        <w:jc w:val="center"/>
      </w:pPr>
      <w:r>
        <w:t>122nd Session, 2017-2018</w:t>
      </w:r>
    </w:p>
    <w:p w:rsidR="00E63DAA" w:rsidRDefault="00E63DAA" w:rsidP="00E63DAA">
      <w:pPr>
        <w:widowControl w:val="0"/>
        <w:jc w:val="left"/>
      </w:pPr>
    </w:p>
    <w:p w:rsidR="00E63DAA" w:rsidRDefault="00E63DAA" w:rsidP="00E63DAA">
      <w:pPr>
        <w:widowControl w:val="0"/>
        <w:jc w:val="left"/>
        <w:rPr>
          <w:b/>
        </w:rPr>
      </w:pPr>
      <w:r w:rsidRPr="00E63DAA">
        <w:rPr>
          <w:b/>
        </w:rPr>
        <w:t>H. 4463</w:t>
      </w:r>
    </w:p>
    <w:p w:rsidR="00E63DAA" w:rsidRDefault="00E63DAA" w:rsidP="00E63DAA">
      <w:pPr>
        <w:widowControl w:val="0"/>
        <w:jc w:val="left"/>
        <w:rPr>
          <w:b/>
        </w:rPr>
      </w:pPr>
    </w:p>
    <w:p w:rsidR="00E63DAA" w:rsidRDefault="00E63DAA" w:rsidP="00E63DAA">
      <w:pPr>
        <w:widowControl w:val="0"/>
        <w:jc w:val="left"/>
      </w:pPr>
      <w:r w:rsidRPr="00E63DAA">
        <w:rPr>
          <w:b/>
        </w:rPr>
        <w:t>STATUS INFORMATION</w:t>
      </w:r>
    </w:p>
    <w:p w:rsidR="00E63DAA" w:rsidRDefault="00E63DAA" w:rsidP="00E63DAA">
      <w:pPr>
        <w:widowControl w:val="0"/>
        <w:jc w:val="left"/>
      </w:pPr>
    </w:p>
    <w:p w:rsidR="00E63DAA" w:rsidRDefault="00E63DAA" w:rsidP="00E63DAA">
      <w:pPr>
        <w:widowControl w:val="0"/>
        <w:jc w:val="left"/>
      </w:pPr>
      <w:r>
        <w:t>General Bill</w:t>
      </w:r>
    </w:p>
    <w:p w:rsidR="00E63DAA" w:rsidRDefault="006171A5" w:rsidP="00E63DAA">
      <w:pPr>
        <w:widowControl w:val="0"/>
        <w:jc w:val="left"/>
      </w:pPr>
      <w:r>
        <w:t>Sponsors: Reps. Spires and Henderson</w:t>
      </w:r>
      <w:r>
        <w:noBreakHyphen/>
        <w:t>Myers</w:t>
      </w:r>
    </w:p>
    <w:p w:rsidR="00E63DAA" w:rsidRDefault="00E63DAA" w:rsidP="00E63DAA">
      <w:pPr>
        <w:widowControl w:val="0"/>
        <w:jc w:val="left"/>
      </w:pPr>
      <w:r>
        <w:t>Document Path: l:\council\bills\bh\7146ahb18.docx</w:t>
      </w:r>
    </w:p>
    <w:p w:rsidR="00E63DAA" w:rsidRDefault="00E63DAA" w:rsidP="00E63DAA">
      <w:pPr>
        <w:widowControl w:val="0"/>
        <w:jc w:val="left"/>
      </w:pPr>
    </w:p>
    <w:p w:rsidR="00C126BA" w:rsidRDefault="00C126BA" w:rsidP="00E63DAA">
      <w:pPr>
        <w:widowControl w:val="0"/>
        <w:jc w:val="left"/>
      </w:pPr>
      <w:r>
        <w:t>Introduced in the House on January 9, 2018</w:t>
      </w:r>
    </w:p>
    <w:p w:rsidR="00C126BA" w:rsidRPr="00C126BA" w:rsidRDefault="00C126BA" w:rsidP="00E63DAA">
      <w:pPr>
        <w:widowControl w:val="0"/>
        <w:jc w:val="left"/>
      </w:pPr>
      <w:r>
        <w:t xml:space="preserve">Currently residing in the House Committee on </w:t>
      </w:r>
      <w:r w:rsidRPr="00C126BA">
        <w:rPr>
          <w:b/>
        </w:rPr>
        <w:t>Judiciary</w:t>
      </w:r>
    </w:p>
    <w:p w:rsidR="00C126BA" w:rsidRDefault="00C126BA" w:rsidP="00E63DAA">
      <w:pPr>
        <w:widowControl w:val="0"/>
        <w:jc w:val="left"/>
      </w:pPr>
    </w:p>
    <w:p w:rsidR="00E63DAA" w:rsidRDefault="00E63DAA" w:rsidP="00E63DAA">
      <w:pPr>
        <w:widowControl w:val="0"/>
        <w:jc w:val="left"/>
      </w:pPr>
      <w:r>
        <w:t xml:space="preserve">Summary: </w:t>
      </w:r>
      <w:r w:rsidR="008C6BA4">
        <w:t>Firearm</w:t>
      </w:r>
    </w:p>
    <w:p w:rsidR="00E63DAA" w:rsidRDefault="00E63DAA" w:rsidP="00E63DAA">
      <w:pPr>
        <w:widowControl w:val="0"/>
        <w:jc w:val="left"/>
      </w:pPr>
    </w:p>
    <w:p w:rsidR="00E63DAA" w:rsidRDefault="00E63DAA" w:rsidP="00E63DAA">
      <w:pPr>
        <w:widowControl w:val="0"/>
        <w:jc w:val="left"/>
      </w:pPr>
    </w:p>
    <w:p w:rsidR="00E63DAA" w:rsidRDefault="00E63DAA" w:rsidP="00E63DAA">
      <w:pPr>
        <w:widowControl w:val="0"/>
        <w:tabs>
          <w:tab w:val="center" w:pos="590"/>
          <w:tab w:val="center" w:pos="1440"/>
          <w:tab w:val="left" w:pos="1872"/>
          <w:tab w:val="left" w:pos="9187"/>
        </w:tabs>
        <w:jc w:val="left"/>
      </w:pPr>
      <w:r w:rsidRPr="00E63DAA">
        <w:rPr>
          <w:b/>
        </w:rPr>
        <w:t>HISTORY OF LEGISLATIVE ACTIONS</w:t>
      </w:r>
    </w:p>
    <w:p w:rsidR="00E63DAA" w:rsidRDefault="00E63DAA" w:rsidP="00E63DAA">
      <w:pPr>
        <w:widowControl w:val="0"/>
        <w:tabs>
          <w:tab w:val="center" w:pos="590"/>
          <w:tab w:val="center" w:pos="1440"/>
          <w:tab w:val="left" w:pos="1872"/>
          <w:tab w:val="left" w:pos="9187"/>
        </w:tabs>
        <w:jc w:val="left"/>
      </w:pPr>
    </w:p>
    <w:p w:rsidR="00E63DAA" w:rsidRPr="00E63DAA" w:rsidRDefault="00E63DAA" w:rsidP="00E63DAA">
      <w:pPr>
        <w:widowControl w:val="0"/>
        <w:tabs>
          <w:tab w:val="center" w:pos="590"/>
          <w:tab w:val="center" w:pos="1440"/>
          <w:tab w:val="left" w:pos="1872"/>
          <w:tab w:val="left" w:pos="9187"/>
        </w:tabs>
        <w:jc w:val="left"/>
      </w:pPr>
      <w:r w:rsidRPr="00E63DAA">
        <w:rPr>
          <w:u w:val="single"/>
        </w:rPr>
        <w:tab/>
        <w:t>Date</w:t>
      </w:r>
      <w:r w:rsidRPr="00E63DAA">
        <w:rPr>
          <w:u w:val="single"/>
        </w:rPr>
        <w:tab/>
        <w:t>Body</w:t>
      </w:r>
      <w:r w:rsidRPr="00E63DAA">
        <w:rPr>
          <w:u w:val="single"/>
        </w:rPr>
        <w:tab/>
        <w:t>Action Description with journal page number</w:t>
      </w:r>
      <w:r w:rsidRPr="00E63DAA">
        <w:rPr>
          <w:u w:val="single"/>
        </w:rPr>
        <w:tab/>
      </w:r>
    </w:p>
    <w:p w:rsidR="0018122E" w:rsidRDefault="0018122E" w:rsidP="0018122E">
      <w:pPr>
        <w:widowControl w:val="0"/>
        <w:tabs>
          <w:tab w:val="right" w:pos="1008"/>
          <w:tab w:val="left" w:pos="1152"/>
          <w:tab w:val="left" w:pos="1872"/>
          <w:tab w:val="left" w:pos="9187"/>
        </w:tabs>
        <w:ind w:left="2088" w:hanging="2088"/>
        <w:jc w:val="left"/>
      </w:pPr>
      <w:r>
        <w:tab/>
        <w:t>12/13/2017</w:t>
      </w:r>
      <w:r>
        <w:tab/>
        <w:t>House</w:t>
      </w:r>
      <w:r>
        <w:tab/>
      </w:r>
      <w:r w:rsidRPr="005E552C">
        <w:t>Prefiled</w:t>
      </w:r>
    </w:p>
    <w:p w:rsidR="0018122E" w:rsidRDefault="0018122E" w:rsidP="0018122E">
      <w:pPr>
        <w:widowControl w:val="0"/>
        <w:tabs>
          <w:tab w:val="right" w:pos="1008"/>
          <w:tab w:val="left" w:pos="1152"/>
          <w:tab w:val="left" w:pos="1872"/>
          <w:tab w:val="left" w:pos="9187"/>
        </w:tabs>
        <w:ind w:left="2088" w:hanging="2088"/>
        <w:jc w:val="left"/>
      </w:pPr>
      <w:r>
        <w:tab/>
        <w:t>12/13/2017</w:t>
      </w:r>
      <w:r>
        <w:tab/>
        <w:t>House</w:t>
      </w:r>
      <w:r>
        <w:tab/>
      </w:r>
      <w:r w:rsidRPr="005E552C">
        <w:t xml:space="preserve">Referred to Committee on </w:t>
      </w:r>
      <w:r w:rsidRPr="005E552C">
        <w:rPr>
          <w:b/>
        </w:rPr>
        <w:t>Judiciary</w:t>
      </w:r>
    </w:p>
    <w:p w:rsidR="0018122E" w:rsidRDefault="0018122E" w:rsidP="0018122E">
      <w:pPr>
        <w:widowControl w:val="0"/>
        <w:tabs>
          <w:tab w:val="right" w:pos="1008"/>
          <w:tab w:val="left" w:pos="1152"/>
          <w:tab w:val="left" w:pos="1872"/>
          <w:tab w:val="left" w:pos="9187"/>
        </w:tabs>
        <w:ind w:left="2088" w:hanging="2088"/>
        <w:jc w:val="left"/>
      </w:pPr>
      <w:r>
        <w:tab/>
        <w:t>1/9/2018</w:t>
      </w:r>
      <w:r>
        <w:tab/>
        <w:t>House</w:t>
      </w:r>
      <w:r>
        <w:tab/>
      </w:r>
      <w:r w:rsidRPr="005E552C">
        <w:t>Introduced and read first time (</w:t>
      </w:r>
      <w:hyperlink r:id="rId7" w:history="1">
        <w:r w:rsidRPr="005E552C">
          <w:rPr>
            <w:rStyle w:val="Hyperlink"/>
          </w:rPr>
          <w:t>House Journal</w:t>
        </w:r>
        <w:r w:rsidRPr="005E552C">
          <w:rPr>
            <w:rStyle w:val="Hyperlink"/>
          </w:rPr>
          <w:noBreakHyphen/>
          <w:t>page 120</w:t>
        </w:r>
      </w:hyperlink>
      <w:r w:rsidRPr="005E552C">
        <w:t>)</w:t>
      </w:r>
    </w:p>
    <w:p w:rsidR="0018122E" w:rsidRDefault="0018122E" w:rsidP="0018122E">
      <w:pPr>
        <w:widowControl w:val="0"/>
        <w:tabs>
          <w:tab w:val="right" w:pos="1008"/>
          <w:tab w:val="left" w:pos="1152"/>
          <w:tab w:val="left" w:pos="1872"/>
          <w:tab w:val="left" w:pos="9187"/>
        </w:tabs>
        <w:ind w:left="2088" w:hanging="2088"/>
        <w:jc w:val="left"/>
      </w:pPr>
      <w:r>
        <w:tab/>
        <w:t>1/9/2018</w:t>
      </w:r>
      <w:r>
        <w:tab/>
        <w:t>House</w:t>
      </w:r>
      <w:r>
        <w:tab/>
      </w:r>
      <w:r w:rsidRPr="005E552C">
        <w:t>Ref</w:t>
      </w:r>
      <w:r>
        <w:t xml:space="preserve">erred to Committee on </w:t>
      </w:r>
      <w:r w:rsidRPr="005E552C">
        <w:rPr>
          <w:b/>
        </w:rPr>
        <w:t>Judiciary</w:t>
      </w:r>
      <w:r>
        <w:t xml:space="preserve"> </w:t>
      </w:r>
      <w:r w:rsidRPr="005E552C">
        <w:t>(</w:t>
      </w:r>
      <w:hyperlink r:id="rId8" w:history="1">
        <w:r w:rsidRPr="005E552C">
          <w:rPr>
            <w:rStyle w:val="Hyperlink"/>
          </w:rPr>
          <w:t>House Journal</w:t>
        </w:r>
        <w:r w:rsidRPr="005E552C">
          <w:rPr>
            <w:rStyle w:val="Hyperlink"/>
          </w:rPr>
          <w:noBreakHyphen/>
          <w:t>page 120</w:t>
        </w:r>
      </w:hyperlink>
      <w:r w:rsidRPr="005E552C">
        <w:t>)</w:t>
      </w:r>
    </w:p>
    <w:p w:rsidR="0018122E" w:rsidRDefault="0018122E" w:rsidP="0018122E">
      <w:pPr>
        <w:widowControl w:val="0"/>
        <w:tabs>
          <w:tab w:val="right" w:pos="1008"/>
          <w:tab w:val="left" w:pos="1152"/>
          <w:tab w:val="left" w:pos="1872"/>
          <w:tab w:val="left" w:pos="9187"/>
        </w:tabs>
        <w:ind w:left="2088" w:hanging="2088"/>
        <w:jc w:val="left"/>
      </w:pPr>
    </w:p>
    <w:p w:rsidR="00E63DAA" w:rsidRDefault="00E63DAA" w:rsidP="00E63DA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63DAA">
          <w:rPr>
            <w:rStyle w:val="Hyperlink"/>
          </w:rPr>
          <w:t>legislative information</w:t>
        </w:r>
      </w:hyperlink>
      <w:r>
        <w:t xml:space="preserve"> at the website</w:t>
      </w:r>
    </w:p>
    <w:p w:rsidR="00E63DAA" w:rsidRDefault="00E63DAA" w:rsidP="00E63DAA">
      <w:pPr>
        <w:widowControl w:val="0"/>
        <w:tabs>
          <w:tab w:val="right" w:pos="1008"/>
          <w:tab w:val="left" w:pos="1152"/>
          <w:tab w:val="left" w:pos="1872"/>
          <w:tab w:val="left" w:pos="9187"/>
        </w:tabs>
        <w:ind w:left="2088" w:hanging="2088"/>
        <w:jc w:val="left"/>
      </w:pPr>
    </w:p>
    <w:p w:rsidR="00E63DAA" w:rsidRPr="00E63DAA" w:rsidRDefault="00E63DAA" w:rsidP="00E63DAA">
      <w:pPr>
        <w:widowControl w:val="0"/>
        <w:tabs>
          <w:tab w:val="right" w:pos="1008"/>
          <w:tab w:val="left" w:pos="1152"/>
          <w:tab w:val="left" w:pos="1872"/>
          <w:tab w:val="left" w:pos="9187"/>
        </w:tabs>
        <w:ind w:left="2088" w:hanging="2088"/>
        <w:jc w:val="left"/>
      </w:pPr>
    </w:p>
    <w:p w:rsidR="00E63DAA" w:rsidRDefault="00E63DAA" w:rsidP="00E63DAA">
      <w:pPr>
        <w:widowControl w:val="0"/>
        <w:jc w:val="left"/>
      </w:pPr>
      <w:r w:rsidRPr="00E63DAA">
        <w:rPr>
          <w:b/>
        </w:rPr>
        <w:t>VERSIONS OF THIS BILL</w:t>
      </w:r>
    </w:p>
    <w:p w:rsidR="00E63DAA" w:rsidRDefault="00E63DAA" w:rsidP="00E63DAA">
      <w:pPr>
        <w:widowControl w:val="0"/>
        <w:jc w:val="left"/>
      </w:pPr>
    </w:p>
    <w:p w:rsidR="00E63DAA" w:rsidRDefault="00334E22" w:rsidP="00E63DAA">
      <w:pPr>
        <w:widowControl w:val="0"/>
        <w:jc w:val="left"/>
      </w:pPr>
      <w:hyperlink r:id="rId10" w:history="1">
        <w:r w:rsidR="00E63DAA">
          <w:rPr>
            <w:rStyle w:val="Hyperlink"/>
          </w:rPr>
          <w:t>12/13/2017</w:t>
        </w:r>
      </w:hyperlink>
    </w:p>
    <w:p w:rsidR="00E63DAA" w:rsidRDefault="00E63DAA" w:rsidP="00E63DAA"/>
    <w:p w:rsidR="00E63DAA" w:rsidRDefault="00E63DAA" w:rsidP="00E63DAA">
      <w:pPr>
        <w:sectPr w:rsidR="00E63DAA" w:rsidSect="00E63DAA">
          <w:pgSz w:w="12240" w:h="15840" w:code="1"/>
          <w:pgMar w:top="1080" w:right="1440" w:bottom="1080" w:left="1440" w:header="720" w:footer="720" w:gutter="0"/>
          <w:cols w:space="720"/>
          <w:noEndnote/>
          <w:docGrid w:linePitch="360"/>
        </w:sectPr>
      </w:pPr>
    </w:p>
    <w:p w:rsidR="003C620F" w:rsidRDefault="003C620F" w:rsidP="0076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88E" w:rsidRDefault="0076088E" w:rsidP="0076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88E" w:rsidRDefault="0076088E" w:rsidP="0076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88E" w:rsidRDefault="0076088E" w:rsidP="0076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88E" w:rsidRDefault="0076088E" w:rsidP="0076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88E" w:rsidRDefault="0076088E" w:rsidP="0076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88E" w:rsidRDefault="0076088E" w:rsidP="0076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71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44805">
        <w:rPr>
          <w:color w:val="000000" w:themeColor="text1"/>
          <w:u w:color="000000" w:themeColor="text1"/>
        </w:rPr>
        <w:t>TO AMEND THE CODE OF LAWS OF SOUTH CAROLINA, 1976, BY ADDING SECTION 16</w:t>
      </w:r>
      <w:r w:rsidR="004E682F">
        <w:rPr>
          <w:color w:val="000000" w:themeColor="text1"/>
          <w:u w:color="000000" w:themeColor="text1"/>
        </w:rPr>
        <w:noBreakHyphen/>
      </w:r>
      <w:r w:rsidRPr="00644805">
        <w:rPr>
          <w:color w:val="000000" w:themeColor="text1"/>
          <w:u w:color="000000" w:themeColor="text1"/>
        </w:rPr>
        <w:t>23</w:t>
      </w:r>
      <w:r w:rsidR="004E682F">
        <w:rPr>
          <w:color w:val="000000" w:themeColor="text1"/>
          <w:u w:color="000000" w:themeColor="text1"/>
        </w:rPr>
        <w:noBreakHyphen/>
      </w:r>
      <w:r w:rsidRPr="00644805">
        <w:rPr>
          <w:color w:val="000000" w:themeColor="text1"/>
          <w:u w:color="000000" w:themeColor="text1"/>
        </w:rPr>
        <w:t>540 SO AS TO DEFINE NECESSARY TERMS, TO CREATE THE OFFENSE OF UNLAWFUL DISCHARGING OF A FIREARM IN UNINCORPORATED AREAS WITHOUT APPROPRIATE SAFETY MEASURES, TO PROVIDE A PENALTY,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05">
        <w:rPr>
          <w:color w:val="000000" w:themeColor="text1"/>
          <w:u w:color="000000" w:themeColor="text1"/>
        </w:rPr>
        <w:t xml:space="preserve">Whereas, the General Assembly recognizes that certain unincorporated areas of the State are densely populated and the inherent dangers involving the discharging of firearms near the property of others is a matter that should be addressed to ensure the safety of others while narrowly tailoring a remedy to ensure the protection of the citizens of the State; </w:t>
      </w:r>
      <w:r w:rsidR="00851970">
        <w:rPr>
          <w:color w:val="000000" w:themeColor="text1"/>
          <w:u w:color="000000" w:themeColor="text1"/>
        </w:rPr>
        <w:t>and</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05">
        <w:rPr>
          <w:color w:val="000000" w:themeColor="text1"/>
          <w:u w:color="000000" w:themeColor="text1"/>
        </w:rPr>
        <w:t>Whereas, it is in the best interests of our citizens to protect their health, welfare, and safety by requiring owners of property who choose to discharge firearms on their property, or allow others to discharge firearms on their property, to put in place minimal, appropriate safety measures. Now, therefore,</w:t>
      </w:r>
    </w:p>
    <w:p w:rsidR="001A5E3C"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E3C"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05">
        <w:rPr>
          <w:color w:val="000000" w:themeColor="text1"/>
          <w:u w:color="000000" w:themeColor="text1"/>
        </w:rPr>
        <w:t>SECTION</w:t>
      </w:r>
      <w:r w:rsidRPr="00644805">
        <w:rPr>
          <w:color w:val="000000" w:themeColor="text1"/>
          <w:u w:color="000000" w:themeColor="text1"/>
        </w:rPr>
        <w:tab/>
        <w:t>1.</w:t>
      </w:r>
      <w:r w:rsidRPr="00644805">
        <w:rPr>
          <w:color w:val="000000" w:themeColor="text1"/>
          <w:u w:color="000000" w:themeColor="text1"/>
        </w:rPr>
        <w:tab/>
        <w:t>Article 5, Chapter 23, Title 16 of the 1976 Code is amended by adding:</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05">
        <w:rPr>
          <w:color w:val="000000" w:themeColor="text1"/>
          <w:u w:color="000000" w:themeColor="text1"/>
        </w:rPr>
        <w:tab/>
        <w:t>“Section 16</w:t>
      </w:r>
      <w:r w:rsidR="004E682F">
        <w:rPr>
          <w:color w:val="000000" w:themeColor="text1"/>
          <w:u w:color="000000" w:themeColor="text1"/>
        </w:rPr>
        <w:noBreakHyphen/>
      </w:r>
      <w:r w:rsidRPr="00644805">
        <w:rPr>
          <w:color w:val="000000" w:themeColor="text1"/>
          <w:u w:color="000000" w:themeColor="text1"/>
        </w:rPr>
        <w:t>23</w:t>
      </w:r>
      <w:r w:rsidR="004E682F">
        <w:rPr>
          <w:color w:val="000000" w:themeColor="text1"/>
          <w:u w:color="000000" w:themeColor="text1"/>
        </w:rPr>
        <w:noBreakHyphen/>
      </w:r>
      <w:r w:rsidRPr="00644805">
        <w:rPr>
          <w:color w:val="000000" w:themeColor="text1"/>
          <w:u w:color="000000" w:themeColor="text1"/>
        </w:rPr>
        <w:t>540</w:t>
      </w:r>
      <w:r w:rsidR="00851970">
        <w:rPr>
          <w:color w:val="000000" w:themeColor="text1"/>
          <w:u w:color="000000" w:themeColor="text1"/>
        </w:rPr>
        <w:t>.</w:t>
      </w:r>
      <w:r w:rsidR="00851970">
        <w:rPr>
          <w:color w:val="000000" w:themeColor="text1"/>
          <w:u w:color="000000" w:themeColor="text1"/>
        </w:rPr>
        <w:tab/>
      </w:r>
      <w:r w:rsidRPr="00644805">
        <w:rPr>
          <w:color w:val="000000" w:themeColor="text1"/>
          <w:u w:color="000000" w:themeColor="text1"/>
        </w:rPr>
        <w:t>(A)</w:t>
      </w:r>
      <w:r w:rsidRPr="00644805">
        <w:rPr>
          <w:color w:val="000000" w:themeColor="text1"/>
          <w:u w:color="000000" w:themeColor="text1"/>
        </w:rPr>
        <w:tab/>
        <w:t xml:space="preserve">For purposes of this section, the term: </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05">
        <w:rPr>
          <w:color w:val="000000" w:themeColor="text1"/>
          <w:u w:color="000000" w:themeColor="text1"/>
        </w:rPr>
        <w:tab/>
        <w:t>(1)</w:t>
      </w:r>
      <w:r w:rsidRPr="00644805">
        <w:rPr>
          <w:color w:val="000000" w:themeColor="text1"/>
          <w:u w:color="000000" w:themeColor="text1"/>
        </w:rPr>
        <w:tab/>
      </w:r>
      <w:r w:rsidR="004E682F" w:rsidRPr="004E682F">
        <w:rPr>
          <w:color w:val="000000" w:themeColor="text1"/>
          <w:u w:color="000000" w:themeColor="text1"/>
        </w:rPr>
        <w:t>‘</w:t>
      </w:r>
      <w:r w:rsidRPr="00644805">
        <w:rPr>
          <w:color w:val="000000" w:themeColor="text1"/>
          <w:u w:color="000000" w:themeColor="text1"/>
        </w:rPr>
        <w:t>Appropriate safety measures</w:t>
      </w:r>
      <w:r w:rsidR="004E682F" w:rsidRPr="004E682F">
        <w:rPr>
          <w:color w:val="000000" w:themeColor="text1"/>
          <w:u w:color="000000" w:themeColor="text1"/>
        </w:rPr>
        <w:t>’</w:t>
      </w:r>
      <w:r w:rsidRPr="00644805">
        <w:rPr>
          <w:color w:val="000000" w:themeColor="text1"/>
          <w:u w:color="000000" w:themeColor="text1"/>
        </w:rPr>
        <w:t xml:space="preserve"> means the erection of a backstop, berm, or similar device designed so that a projectile discharged from a firearm at a target would not reasonably be </w:t>
      </w:r>
      <w:r w:rsidRPr="00644805">
        <w:rPr>
          <w:color w:val="000000" w:themeColor="text1"/>
          <w:u w:color="000000" w:themeColor="text1"/>
        </w:rPr>
        <w:lastRenderedPageBreak/>
        <w:t>expected to escape its boundaries by virtue of the trajectory of the projectile.</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05">
        <w:rPr>
          <w:color w:val="000000" w:themeColor="text1"/>
          <w:u w:color="000000" w:themeColor="text1"/>
        </w:rPr>
        <w:tab/>
        <w:t>(2)</w:t>
      </w:r>
      <w:r w:rsidRPr="00644805">
        <w:rPr>
          <w:color w:val="000000" w:themeColor="text1"/>
          <w:u w:color="000000" w:themeColor="text1"/>
        </w:rPr>
        <w:tab/>
      </w:r>
      <w:r w:rsidR="004E682F" w:rsidRPr="004E682F">
        <w:rPr>
          <w:color w:val="000000" w:themeColor="text1"/>
          <w:u w:color="000000" w:themeColor="text1"/>
        </w:rPr>
        <w:t>‘</w:t>
      </w:r>
      <w:r w:rsidRPr="00644805">
        <w:rPr>
          <w:color w:val="000000" w:themeColor="text1"/>
          <w:u w:color="000000" w:themeColor="text1"/>
        </w:rPr>
        <w:t>Backstop</w:t>
      </w:r>
      <w:r w:rsidR="004E682F" w:rsidRPr="004E682F">
        <w:rPr>
          <w:color w:val="000000" w:themeColor="text1"/>
          <w:u w:color="000000" w:themeColor="text1"/>
        </w:rPr>
        <w:t>’</w:t>
      </w:r>
      <w:r w:rsidRPr="00644805">
        <w:rPr>
          <w:color w:val="000000" w:themeColor="text1"/>
          <w:u w:color="000000" w:themeColor="text1"/>
        </w:rPr>
        <w:t xml:space="preserve"> means a manmade or natural barrier or berm that serves to stop bullets and prevent</w:t>
      </w:r>
      <w:r w:rsidR="004E682F">
        <w:rPr>
          <w:color w:val="000000" w:themeColor="text1"/>
          <w:u w:color="000000" w:themeColor="text1"/>
        </w:rPr>
        <w:t>s</w:t>
      </w:r>
      <w:r w:rsidRPr="00644805">
        <w:rPr>
          <w:color w:val="000000" w:themeColor="text1"/>
          <w:u w:color="000000" w:themeColor="text1"/>
        </w:rPr>
        <w:t xml:space="preserve"> the escape of such projectiles onto the property of another that is wider than the target area, at a minimum depth of eighteen to twenty</w:t>
      </w:r>
      <w:r w:rsidR="004E682F">
        <w:rPr>
          <w:color w:val="000000" w:themeColor="text1"/>
          <w:u w:color="000000" w:themeColor="text1"/>
        </w:rPr>
        <w:noBreakHyphen/>
      </w:r>
      <w:r w:rsidRPr="00644805">
        <w:rPr>
          <w:color w:val="000000" w:themeColor="text1"/>
          <w:u w:color="000000" w:themeColor="text1"/>
        </w:rPr>
        <w:t xml:space="preserve">four inches, and built at a slope that </w:t>
      </w:r>
      <w:r w:rsidR="00FB68CB">
        <w:rPr>
          <w:color w:val="000000" w:themeColor="text1"/>
          <w:u w:color="000000" w:themeColor="text1"/>
        </w:rPr>
        <w:t>does not generate ricochets.</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05">
        <w:rPr>
          <w:color w:val="000000" w:themeColor="text1"/>
          <w:u w:color="000000" w:themeColor="text1"/>
        </w:rPr>
        <w:tab/>
        <w:t>(3)</w:t>
      </w:r>
      <w:r w:rsidRPr="00644805">
        <w:rPr>
          <w:color w:val="000000" w:themeColor="text1"/>
          <w:u w:color="000000" w:themeColor="text1"/>
        </w:rPr>
        <w:tab/>
      </w:r>
      <w:r w:rsidR="004E682F" w:rsidRPr="004E682F">
        <w:rPr>
          <w:color w:val="000000" w:themeColor="text1"/>
          <w:u w:color="000000" w:themeColor="text1"/>
        </w:rPr>
        <w:t>‘</w:t>
      </w:r>
      <w:r w:rsidRPr="00644805">
        <w:rPr>
          <w:color w:val="000000" w:themeColor="text1"/>
          <w:u w:color="000000" w:themeColor="text1"/>
        </w:rPr>
        <w:t>Berm</w:t>
      </w:r>
      <w:r w:rsidR="004E682F" w:rsidRPr="004E682F">
        <w:rPr>
          <w:color w:val="000000" w:themeColor="text1"/>
          <w:u w:color="000000" w:themeColor="text1"/>
        </w:rPr>
        <w:t>’</w:t>
      </w:r>
      <w:r w:rsidRPr="00644805">
        <w:rPr>
          <w:color w:val="000000" w:themeColor="text1"/>
          <w:u w:color="000000" w:themeColor="text1"/>
        </w:rPr>
        <w:t xml:space="preserve"> means an embankment used for restricting bullets to a given area and may include, but is not limited to, hillsides or earthen embankments.</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05">
        <w:rPr>
          <w:color w:val="000000" w:themeColor="text1"/>
          <w:u w:color="000000" w:themeColor="text1"/>
        </w:rPr>
        <w:tab/>
        <w:t>(B)</w:t>
      </w:r>
      <w:r w:rsidRPr="00644805">
        <w:rPr>
          <w:color w:val="000000" w:themeColor="text1"/>
          <w:u w:color="000000" w:themeColor="text1"/>
        </w:rPr>
        <w:tab/>
        <w:t xml:space="preserve">It is unlawful for a person who owns property or who is the lawful occupant of property located in unincorporated areas of the State to engage in the discharging of a firearm on his property, or who permits such activity involving the discharging of a firearm by others on his property, without appropriate safety measures in place.  The provisions of this section apply to activities including, but not limited to, target practice or target shooting.  A person who violates the provisions of this section is guilty of a misdemeanor and, upon conviction, must be fined not more than five hundred </w:t>
      </w:r>
      <w:r w:rsidR="004E682F">
        <w:rPr>
          <w:color w:val="000000" w:themeColor="text1"/>
          <w:u w:color="000000" w:themeColor="text1"/>
        </w:rPr>
        <w:t xml:space="preserve">dollars </w:t>
      </w:r>
      <w:r w:rsidRPr="00644805">
        <w:rPr>
          <w:color w:val="000000" w:themeColor="text1"/>
          <w:u w:color="000000" w:themeColor="text1"/>
        </w:rPr>
        <w:t>or imprisoned not more than thirty days.</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05">
        <w:rPr>
          <w:color w:val="000000" w:themeColor="text1"/>
          <w:u w:color="000000" w:themeColor="text1"/>
        </w:rPr>
        <w:tab/>
        <w:t>(C)</w:t>
      </w:r>
      <w:r w:rsidRPr="00644805">
        <w:rPr>
          <w:color w:val="000000" w:themeColor="text1"/>
          <w:u w:color="000000" w:themeColor="text1"/>
        </w:rPr>
        <w:tab/>
        <w:t>The provisions of this section:</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05">
        <w:rPr>
          <w:color w:val="000000" w:themeColor="text1"/>
          <w:u w:color="000000" w:themeColor="text1"/>
        </w:rPr>
        <w:tab/>
        <w:t>(1)</w:t>
      </w:r>
      <w:r w:rsidRPr="00644805">
        <w:rPr>
          <w:color w:val="000000" w:themeColor="text1"/>
          <w:u w:color="000000" w:themeColor="text1"/>
        </w:rPr>
        <w:tab/>
        <w:t xml:space="preserve">are in addition to any other offense as provided by law and do not prohibit conviction of another, more serious offense; and </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05">
        <w:rPr>
          <w:color w:val="000000" w:themeColor="text1"/>
          <w:u w:color="000000" w:themeColor="text1"/>
        </w:rPr>
        <w:tab/>
      </w:r>
      <w:r>
        <w:rPr>
          <w:color w:val="000000" w:themeColor="text1"/>
          <w:u w:color="000000" w:themeColor="text1"/>
        </w:rPr>
        <w:tab/>
      </w:r>
      <w:r w:rsidRPr="00644805">
        <w:rPr>
          <w:color w:val="000000" w:themeColor="text1"/>
          <w:u w:color="000000" w:themeColor="text1"/>
        </w:rPr>
        <w:t>(2)</w:t>
      </w:r>
      <w:r w:rsidRPr="00644805">
        <w:rPr>
          <w:color w:val="000000" w:themeColor="text1"/>
          <w:u w:color="000000" w:themeColor="text1"/>
        </w:rPr>
        <w:tab/>
        <w:t>do not apply to:</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05">
        <w:rPr>
          <w:color w:val="000000" w:themeColor="text1"/>
          <w:u w:color="000000" w:themeColor="text1"/>
        </w:rPr>
        <w:tab/>
      </w:r>
      <w:r w:rsidRPr="00644805">
        <w:rPr>
          <w:color w:val="000000" w:themeColor="text1"/>
          <w:u w:color="000000" w:themeColor="text1"/>
        </w:rPr>
        <w:tab/>
      </w:r>
      <w:r>
        <w:rPr>
          <w:color w:val="000000" w:themeColor="text1"/>
          <w:u w:color="000000" w:themeColor="text1"/>
        </w:rPr>
        <w:tab/>
      </w:r>
      <w:r w:rsidRPr="00644805">
        <w:rPr>
          <w:color w:val="000000" w:themeColor="text1"/>
          <w:u w:color="000000" w:themeColor="text1"/>
        </w:rPr>
        <w:t>(a)</w:t>
      </w:r>
      <w:r w:rsidRPr="00644805">
        <w:rPr>
          <w:color w:val="000000" w:themeColor="text1"/>
          <w:u w:color="000000" w:themeColor="text1"/>
        </w:rPr>
        <w:tab/>
        <w:t>conduct specifically contained in Section 23</w:t>
      </w:r>
      <w:r w:rsidR="004E682F">
        <w:rPr>
          <w:color w:val="000000" w:themeColor="text1"/>
          <w:u w:color="000000" w:themeColor="text1"/>
        </w:rPr>
        <w:noBreakHyphen/>
      </w:r>
      <w:r w:rsidRPr="00644805">
        <w:rPr>
          <w:color w:val="000000" w:themeColor="text1"/>
          <w:u w:color="000000" w:themeColor="text1"/>
        </w:rPr>
        <w:t>31</w:t>
      </w:r>
      <w:r w:rsidR="004E682F">
        <w:rPr>
          <w:color w:val="000000" w:themeColor="text1"/>
          <w:u w:color="000000" w:themeColor="text1"/>
        </w:rPr>
        <w:noBreakHyphen/>
      </w:r>
      <w:r w:rsidRPr="00644805">
        <w:rPr>
          <w:color w:val="000000" w:themeColor="text1"/>
          <w:u w:color="000000" w:themeColor="text1"/>
        </w:rPr>
        <w:t>510;</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05">
        <w:rPr>
          <w:color w:val="000000" w:themeColor="text1"/>
          <w:u w:color="000000" w:themeColor="text1"/>
        </w:rPr>
        <w:tab/>
      </w:r>
      <w:r w:rsidRPr="00644805">
        <w:rPr>
          <w:color w:val="000000" w:themeColor="text1"/>
          <w:u w:color="000000" w:themeColor="text1"/>
        </w:rPr>
        <w:tab/>
        <w:t>(b)</w:t>
      </w:r>
      <w:r w:rsidRPr="00644805">
        <w:rPr>
          <w:color w:val="000000" w:themeColor="text1"/>
          <w:u w:color="000000" w:themeColor="text1"/>
        </w:rPr>
        <w:tab/>
        <w:t>conduct related to lawful hunting activities as regulated by law;</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05">
        <w:rPr>
          <w:color w:val="000000" w:themeColor="text1"/>
          <w:u w:color="000000" w:themeColor="text1"/>
        </w:rPr>
        <w:tab/>
      </w:r>
      <w:r>
        <w:rPr>
          <w:color w:val="000000" w:themeColor="text1"/>
          <w:u w:color="000000" w:themeColor="text1"/>
        </w:rPr>
        <w:tab/>
      </w:r>
      <w:r w:rsidRPr="00644805">
        <w:rPr>
          <w:color w:val="000000" w:themeColor="text1"/>
          <w:u w:color="000000" w:themeColor="text1"/>
        </w:rPr>
        <w:tab/>
        <w:t>(c)</w:t>
      </w:r>
      <w:r w:rsidRPr="00644805">
        <w:rPr>
          <w:color w:val="000000" w:themeColor="text1"/>
          <w:u w:color="000000" w:themeColor="text1"/>
        </w:rPr>
        <w:tab/>
        <w:t>a law enforcement officer or member of the armed forces in the lawful performance of his official and lawful duties;</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05">
        <w:rPr>
          <w:color w:val="000000" w:themeColor="text1"/>
          <w:u w:color="000000" w:themeColor="text1"/>
        </w:rPr>
        <w:tab/>
      </w:r>
      <w:r w:rsidRPr="00644805">
        <w:rPr>
          <w:color w:val="000000" w:themeColor="text1"/>
          <w:u w:color="000000" w:themeColor="text1"/>
        </w:rPr>
        <w:tab/>
      </w:r>
      <w:r>
        <w:rPr>
          <w:color w:val="000000" w:themeColor="text1"/>
          <w:u w:color="000000" w:themeColor="text1"/>
        </w:rPr>
        <w:tab/>
      </w:r>
      <w:r w:rsidRPr="00644805">
        <w:rPr>
          <w:color w:val="000000" w:themeColor="text1"/>
          <w:u w:color="000000" w:themeColor="text1"/>
        </w:rPr>
        <w:t>(d)</w:t>
      </w:r>
      <w:r w:rsidRPr="00644805">
        <w:rPr>
          <w:color w:val="000000" w:themeColor="text1"/>
          <w:u w:color="000000" w:themeColor="text1"/>
        </w:rPr>
        <w:tab/>
        <w:t>permitted events as part of a sporting event or other theatrical, ceremonial, military, or similar event utilizing blank ammunition.”</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1B6" w:rsidRDefault="007971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5E3C">
        <w:t>2</w:t>
      </w:r>
      <w:r>
        <w:t>.</w:t>
      </w:r>
      <w:r>
        <w:tab/>
        <w:t>This act takes effect upon approval by the Governor.</w:t>
      </w:r>
    </w:p>
    <w:p w:rsidR="00CB556F" w:rsidRDefault="004E68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3DAA" w:rsidRDefault="00E63DAA" w:rsidP="00E63DAA">
      <w:pPr>
        <w:suppressAutoHyphens/>
      </w:pPr>
    </w:p>
    <w:sectPr w:rsidR="00E63DAA" w:rsidSect="00E63DA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1B6" w:rsidRDefault="007971B6" w:rsidP="009F0C77">
      <w:r>
        <w:separator/>
      </w:r>
    </w:p>
  </w:endnote>
  <w:endnote w:type="continuationSeparator" w:id="0">
    <w:p w:rsidR="007971B6" w:rsidRDefault="007971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DB12C7-656B-4E1C-B2AD-B0A00FA1CCE7}"/>
    <w:embedBold r:id="rId2" w:fontKey="{6A03BE77-81C2-4548-B601-E61647E236EB}"/>
  </w:font>
  <w:font w:name="Calibri">
    <w:panose1 w:val="020F0502020204030204"/>
    <w:charset w:val="00"/>
    <w:family w:val="swiss"/>
    <w:pitch w:val="variable"/>
    <w:sig w:usb0="E00002FF" w:usb1="4000ACFF" w:usb2="00000001" w:usb3="00000000" w:csb0="0000019F" w:csb1="00000000"/>
    <w:embedRegular r:id="rId3" w:fontKey="{0BA963B8-E56F-4458-BCEC-6F7680733471}"/>
  </w:font>
  <w:font w:name="Segoe UI">
    <w:panose1 w:val="020B0502040204020203"/>
    <w:charset w:val="00"/>
    <w:family w:val="swiss"/>
    <w:pitch w:val="variable"/>
    <w:sig w:usb0="E10022FF" w:usb1="C000E47F" w:usb2="00000029" w:usb3="00000000" w:csb0="000001DF" w:csb1="00000000"/>
    <w:embedRegular r:id="rId4" w:fontKey="{5198DCDA-696F-4F7C-97FB-925D1E9F6409}"/>
  </w:font>
  <w:font w:name="Cambria">
    <w:panose1 w:val="02040503050406030204"/>
    <w:charset w:val="00"/>
    <w:family w:val="roman"/>
    <w:pitch w:val="variable"/>
    <w:sig w:usb0="E00002FF" w:usb1="400004FF" w:usb2="00000000" w:usb3="00000000" w:csb0="0000019F" w:csb1="00000000"/>
    <w:embedRegular r:id="rId5" w:fontKey="{596E23F8-B95B-4206-A190-88FEB68C81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DAA" w:rsidRPr="003C620F" w:rsidRDefault="00E63DAA" w:rsidP="003C620F">
    <w:pPr>
      <w:pStyle w:val="Footer"/>
      <w:tabs>
        <w:tab w:val="clear" w:pos="4680"/>
        <w:tab w:val="clear" w:pos="9360"/>
        <w:tab w:val="center" w:pos="2995"/>
      </w:tabs>
      <w:spacing w:before="120"/>
    </w:pPr>
    <w:r>
      <w:t>[4463]</w:t>
    </w:r>
    <w:r>
      <w:tab/>
    </w:r>
    <w:r>
      <w:fldChar w:fldCharType="begin"/>
    </w:r>
    <w:r>
      <w:instrText xml:space="preserve"> PAGE  \* MERGEFORMAT </w:instrText>
    </w:r>
    <w:r>
      <w:fldChar w:fldCharType="separate"/>
    </w:r>
    <w:r w:rsidR="001812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1B6" w:rsidRDefault="007971B6" w:rsidP="009F0C77">
      <w:r>
        <w:separator/>
      </w:r>
    </w:p>
  </w:footnote>
  <w:footnote w:type="continuationSeparator" w:id="0">
    <w:p w:rsidR="007971B6" w:rsidRDefault="007971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6AHB18"/>
    <w:docVar w:name="CoverBillType" w:val="b"/>
    <w:docVar w:name="DocPath" w:val="L:\Council\bills\BH\7146AHB18.DOCX"/>
    <w:docVar w:name="dvBillNumber" w:val="4463"/>
    <w:docVar w:name="dvBillNumberPrefix" w:val="H. "/>
    <w:docVar w:name="dvOriginalBody" w:val="House"/>
    <w:docVar w:name="dvSteno" w:val="BH"/>
    <w:docVar w:name="NameofBody" w:val="h"/>
    <w:docVar w:name="vGroup2" w:val="Council"/>
  </w:docVars>
  <w:rsids>
    <w:rsidRoot w:val="007971B6"/>
    <w:rsid w:val="00011869"/>
    <w:rsid w:val="00015CD6"/>
    <w:rsid w:val="000E0100"/>
    <w:rsid w:val="000E1785"/>
    <w:rsid w:val="000F40FA"/>
    <w:rsid w:val="001035F1"/>
    <w:rsid w:val="0010776B"/>
    <w:rsid w:val="00133E66"/>
    <w:rsid w:val="001435A3"/>
    <w:rsid w:val="00146ED3"/>
    <w:rsid w:val="00151044"/>
    <w:rsid w:val="0018122E"/>
    <w:rsid w:val="001A5E3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3649"/>
    <w:rsid w:val="003C4DAB"/>
    <w:rsid w:val="003C620F"/>
    <w:rsid w:val="003D01E8"/>
    <w:rsid w:val="003E5288"/>
    <w:rsid w:val="003F6D79"/>
    <w:rsid w:val="0041760A"/>
    <w:rsid w:val="00417C01"/>
    <w:rsid w:val="004403BD"/>
    <w:rsid w:val="00461441"/>
    <w:rsid w:val="004809EE"/>
    <w:rsid w:val="004E682F"/>
    <w:rsid w:val="004E7D54"/>
    <w:rsid w:val="005273C6"/>
    <w:rsid w:val="00530A69"/>
    <w:rsid w:val="00545593"/>
    <w:rsid w:val="00556EBF"/>
    <w:rsid w:val="00577C6C"/>
    <w:rsid w:val="005A62FE"/>
    <w:rsid w:val="005C2FE2"/>
    <w:rsid w:val="005E2BC9"/>
    <w:rsid w:val="00605102"/>
    <w:rsid w:val="006171A5"/>
    <w:rsid w:val="006215AA"/>
    <w:rsid w:val="006311AA"/>
    <w:rsid w:val="006913C9"/>
    <w:rsid w:val="0069470D"/>
    <w:rsid w:val="006D58AA"/>
    <w:rsid w:val="00734F00"/>
    <w:rsid w:val="0076088E"/>
    <w:rsid w:val="007971B6"/>
    <w:rsid w:val="007A70AE"/>
    <w:rsid w:val="008362E8"/>
    <w:rsid w:val="00851970"/>
    <w:rsid w:val="0085786E"/>
    <w:rsid w:val="008A1768"/>
    <w:rsid w:val="008A489F"/>
    <w:rsid w:val="008C6BA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26BA"/>
    <w:rsid w:val="00C31C95"/>
    <w:rsid w:val="00C3483A"/>
    <w:rsid w:val="00C74E9D"/>
    <w:rsid w:val="00C826DD"/>
    <w:rsid w:val="00C82FD3"/>
    <w:rsid w:val="00C92819"/>
    <w:rsid w:val="00CB556F"/>
    <w:rsid w:val="00CC6B7B"/>
    <w:rsid w:val="00CD2089"/>
    <w:rsid w:val="00D73A67"/>
    <w:rsid w:val="00D970A9"/>
    <w:rsid w:val="00DF3845"/>
    <w:rsid w:val="00E41911"/>
    <w:rsid w:val="00E44B57"/>
    <w:rsid w:val="00E63DAA"/>
    <w:rsid w:val="00E92EEF"/>
    <w:rsid w:val="00EF2368"/>
    <w:rsid w:val="00F24442"/>
    <w:rsid w:val="00F50AE3"/>
    <w:rsid w:val="00F655B7"/>
    <w:rsid w:val="00F656BA"/>
    <w:rsid w:val="00F67CF1"/>
    <w:rsid w:val="00F728AA"/>
    <w:rsid w:val="00F840F0"/>
    <w:rsid w:val="00FB0D0D"/>
    <w:rsid w:val="00FB43B4"/>
    <w:rsid w:val="00FB68CB"/>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9473AE-6F86-413B-8FD2-F54BCCA8D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68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82F"/>
    <w:rPr>
      <w:rFonts w:ascii="Segoe UI" w:eastAsia="Times New Roman" w:hAnsi="Segoe UI" w:cs="Segoe UI"/>
      <w:sz w:val="18"/>
      <w:szCs w:val="18"/>
    </w:rPr>
  </w:style>
  <w:style w:type="character" w:styleId="Hyperlink">
    <w:name w:val="Hyperlink"/>
    <w:basedOn w:val="DefaultParagraphFont"/>
    <w:uiPriority w:val="99"/>
    <w:unhideWhenUsed/>
    <w:rsid w:val="00E63D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63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6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ED4EB-9F35-4754-93ED-B328FF74B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4463: Firearm - South Carolina Legislature Online</dc:title>
  <dc:creator>%USERNAME%</dc:creator>
  <cp:lastModifiedBy>S Volk</cp:lastModifiedBy>
  <cp:revision>2</cp:revision>
  <cp:lastPrinted>2017-12-05T18:14:00Z</cp:lastPrinted>
  <dcterms:created xsi:type="dcterms:W3CDTF">2018-01-10T16:51:00Z</dcterms:created>
  <dcterms:modified xsi:type="dcterms:W3CDTF">2018-01-10T16:51:00Z</dcterms:modified>
</cp:coreProperties>
</file>