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6FF66" w14:textId="77777777" w:rsidR="00A34A7A" w:rsidRPr="00522CE0" w:rsidRDefault="00A34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2896F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7A8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26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493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10A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09F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086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07EDA" w14:textId="77777777" w:rsidR="00522CE0" w:rsidRPr="008F023B" w:rsidRDefault="00522CE0" w:rsidP="00A3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725">
        <w:rPr>
          <w:rFonts w:eastAsia="Times New Roman"/>
          <w:b/>
          <w:sz w:val="30"/>
          <w:szCs w:val="30"/>
        </w:rPr>
        <w:t>BILL</w:t>
      </w:r>
    </w:p>
    <w:p w14:paraId="394F20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9DB366" w14:textId="52BBE2CB" w:rsidR="00522CE0" w:rsidRPr="00522CE0" w:rsidRDefault="006D3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50-9-20</w:t>
      </w:r>
      <w:r w:rsidR="00A80B00">
        <w:rPr>
          <w:rFonts w:eastAsia="Times New Roman"/>
        </w:rPr>
        <w:t>(A)(5)</w:t>
      </w:r>
      <w:r>
        <w:rPr>
          <w:rFonts w:eastAsia="Times New Roman"/>
        </w:rPr>
        <w:t xml:space="preserve"> OF THE 1976 CODE</w:t>
      </w:r>
      <w:r w:rsidR="00BA5D1F">
        <w:rPr>
          <w:rFonts w:eastAsia="Times New Roman"/>
        </w:rPr>
        <w:t>,</w:t>
      </w:r>
      <w:r>
        <w:rPr>
          <w:rFonts w:eastAsia="Times New Roman"/>
        </w:rPr>
        <w:t xml:space="preserve"> RELATING TO CATAWBA HUNTING AND FISHING LICENSES</w:t>
      </w:r>
      <w:r w:rsidR="00BA5D1F">
        <w:rPr>
          <w:rFonts w:eastAsia="Times New Roman"/>
        </w:rPr>
        <w:t>,</w:t>
      </w:r>
      <w:r>
        <w:rPr>
          <w:rFonts w:eastAsia="Times New Roman"/>
        </w:rPr>
        <w:t xml:space="preserve"> TO BROADEN THE SCOPE </w:t>
      </w:r>
      <w:r w:rsidR="00BA5D1F">
        <w:rPr>
          <w:rFonts w:eastAsia="Times New Roman"/>
        </w:rPr>
        <w:t xml:space="preserve">OF THE LICENSING </w:t>
      </w:r>
      <w:r>
        <w:rPr>
          <w:rFonts w:eastAsia="Times New Roman"/>
        </w:rPr>
        <w:t>TO ALLOW ALL NATIVE AMERICAN INDIANS THE OPPORTUNITY TO RECEIVE FREE LICENSES; TO AMEND SECTION 50-9-570</w:t>
      </w:r>
      <w:r w:rsidR="00A80B00">
        <w:rPr>
          <w:rFonts w:eastAsia="Times New Roman"/>
        </w:rPr>
        <w:t>(B)</w:t>
      </w:r>
      <w:r w:rsidR="00BA5D1F">
        <w:rPr>
          <w:rFonts w:eastAsia="Times New Roman"/>
        </w:rPr>
        <w:t>,</w:t>
      </w:r>
      <w:r>
        <w:rPr>
          <w:rFonts w:eastAsia="Times New Roman"/>
        </w:rPr>
        <w:t xml:space="preserve"> RELATING TO MIGRATORY BIRD PERMITS</w:t>
      </w:r>
      <w:r w:rsidR="00BA5D1F">
        <w:rPr>
          <w:rFonts w:eastAsia="Times New Roman"/>
        </w:rPr>
        <w:t>,</w:t>
      </w:r>
      <w:r>
        <w:rPr>
          <w:rFonts w:eastAsia="Times New Roman"/>
        </w:rPr>
        <w:t xml:space="preserve"> TO PROVIDE THAT ALL MEMBERS OF RECOGNIZED NATIVE AMERICAN INDIAN TRIBES IN SOUTH CAROLINA ARE NOT REQUIRED TO CARRY MIGRATORY BIRD PERMITS; </w:t>
      </w:r>
      <w:r w:rsidR="00BA5D1F">
        <w:rPr>
          <w:rFonts w:eastAsia="Times New Roman"/>
        </w:rPr>
        <w:t xml:space="preserve">AND </w:t>
      </w:r>
      <w:r>
        <w:rPr>
          <w:rFonts w:eastAsia="Times New Roman"/>
        </w:rPr>
        <w:t>TO AMEND S</w:t>
      </w:r>
      <w:r w:rsidR="00BA5D1F">
        <w:rPr>
          <w:rFonts w:eastAsia="Times New Roman"/>
        </w:rPr>
        <w:t>ECTION</w:t>
      </w:r>
      <w:r>
        <w:rPr>
          <w:rFonts w:eastAsia="Times New Roman"/>
        </w:rPr>
        <w:t xml:space="preserve"> 50-11-515</w:t>
      </w:r>
      <w:r w:rsidR="00BA5D1F">
        <w:rPr>
          <w:rFonts w:eastAsia="Times New Roman"/>
        </w:rPr>
        <w:t>,</w:t>
      </w:r>
      <w:r>
        <w:rPr>
          <w:rFonts w:eastAsia="Times New Roman"/>
        </w:rPr>
        <w:t xml:space="preserve"> RELATING TO AMERICAN INDIAN ARTISTS</w:t>
      </w:r>
      <w:r w:rsidR="00BA5D1F">
        <w:rPr>
          <w:rFonts w:eastAsia="Times New Roman"/>
        </w:rPr>
        <w:t>,</w:t>
      </w:r>
      <w:r>
        <w:rPr>
          <w:rFonts w:eastAsia="Times New Roman"/>
        </w:rPr>
        <w:t xml:space="preserve"> TO ALLOW AMERICAN INDIAN ARTISTS FROM RECOGNIZED TRIBES TO SELL ART WITH WASTE PARTS FROM LEGALLY TAKEN GAME ANIMALS AND TO REQUIRE THE AMERICAN INDIAN ARTIST TO SUBMIT AN AFFIDAVIT SIGNED BY THE CHIEF OF HIS TRIBE CERTIFYING THE ARTIST’S TRIBAL MEMBERSHIP.</w:t>
      </w:r>
    </w:p>
    <w:p w14:paraId="5BF82A0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A71C79A" w14:textId="77777777" w:rsidR="00FA7725"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A035674" w14:textId="77777777" w:rsidR="00FA7725"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18957A" w14:textId="77777777" w:rsidR="006D3EB5" w:rsidRDefault="00FA772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3EB5">
        <w:rPr>
          <w:rFonts w:eastAsia="Times New Roman"/>
        </w:rPr>
        <w:t>Section 50-9-20(A)(5) of the 1976 Code is amended to read:</w:t>
      </w:r>
    </w:p>
    <w:p w14:paraId="432B5465"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16FD2"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w:t>
      </w:r>
      <w:r w:rsidRPr="00C43228">
        <w:rPr>
          <w:rFonts w:eastAsia="Times New Roman"/>
          <w:strike/>
        </w:rPr>
        <w:t>Catawba</w:t>
      </w:r>
      <w:r>
        <w:rPr>
          <w:rFonts w:eastAsia="Times New Roman"/>
        </w:rPr>
        <w:t xml:space="preserve"> </w:t>
      </w:r>
      <w:r>
        <w:rPr>
          <w:rFonts w:eastAsia="Times New Roman"/>
          <w:u w:val="single"/>
        </w:rPr>
        <w:t>Native American</w:t>
      </w:r>
      <w:r>
        <w:t xml:space="preserve"> </w:t>
      </w:r>
      <w:r>
        <w:rPr>
          <w:rFonts w:eastAsia="Times New Roman"/>
        </w:rPr>
        <w:t>Indian license expires October 27, 2092.”</w:t>
      </w:r>
    </w:p>
    <w:p w14:paraId="7F3BAFEA"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D8A21D"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50-9-530 of the 1976 Code is amended to read:</w:t>
      </w:r>
    </w:p>
    <w:p w14:paraId="24D000FD"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2A434" w14:textId="04D5A222" w:rsidR="006D3EB5" w:rsidRPr="00C25257"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421E41">
        <w:rPr>
          <w:rFonts w:eastAsia="Times New Roman"/>
        </w:rPr>
        <w:t xml:space="preserve">Section </w:t>
      </w:r>
      <w:r>
        <w:rPr>
          <w:rFonts w:eastAsia="Times New Roman"/>
        </w:rPr>
        <w:t>50-9-530</w:t>
      </w:r>
      <w:r w:rsidR="00421E41">
        <w:rPr>
          <w:rFonts w:eastAsia="Times New Roman"/>
        </w:rPr>
        <w:t>.</w:t>
      </w:r>
      <w:r>
        <w:rPr>
          <w:rFonts w:eastAsia="Times New Roman"/>
        </w:rPr>
        <w:tab/>
      </w:r>
      <w:r w:rsidR="00A80B00">
        <w:rPr>
          <w:rFonts w:eastAsia="Times New Roman"/>
        </w:rPr>
        <w:t>(A)</w:t>
      </w:r>
      <w:r w:rsidR="00A80B00">
        <w:rPr>
          <w:rFonts w:eastAsia="Times New Roman"/>
        </w:rPr>
        <w:tab/>
      </w:r>
      <w:r w:rsidRPr="00C25257">
        <w:rPr>
          <w:rFonts w:eastAsia="Times New Roman"/>
        </w:rPr>
        <w:t>A resident born before July 1, 1940, may obtain from the department at its designated licensing locations a gratis lifetime hunting and fishing license at no cost.</w:t>
      </w:r>
    </w:p>
    <w:p w14:paraId="782244DD" w14:textId="4540F0E9" w:rsidR="006D3EB5" w:rsidRPr="00C25257"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25257">
        <w:rPr>
          <w:rFonts w:eastAsia="Times New Roman"/>
        </w:rPr>
        <w:tab/>
        <w:t>(B)</w:t>
      </w:r>
      <w:r w:rsidR="00A80B00">
        <w:rPr>
          <w:rFonts w:eastAsia="Times New Roman"/>
        </w:rPr>
        <w:tab/>
      </w:r>
      <w:r w:rsidRPr="00C25257">
        <w:rPr>
          <w:rFonts w:eastAsia="Times New Roman"/>
        </w:rPr>
        <w:t>A resident born after June 30, 1940, who has attained the age of sixty</w:t>
      </w:r>
      <w:r w:rsidRPr="00C25257">
        <w:rPr>
          <w:rFonts w:eastAsia="Times New Roman"/>
        </w:rPr>
        <w:noBreakHyphen/>
        <w:t>four years may obtain from the department at its designated licensing locations a senior lifetime hunting and fishing license for nine dollars, one dollar of which the issuing sales vendor may retain.</w:t>
      </w:r>
    </w:p>
    <w:p w14:paraId="55B8DAA7" w14:textId="143C45BD" w:rsidR="006D3EB5" w:rsidRPr="00C25257"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6D3EB5" w:rsidRPr="00C25257">
        <w:rPr>
          <w:rFonts w:eastAsia="Times New Roman"/>
        </w:rPr>
        <w:t>A resident born after June 30, 1979, who has attained the age of sixty</w:t>
      </w:r>
      <w:r w:rsidR="006D3EB5" w:rsidRPr="00C25257">
        <w:rPr>
          <w:rFonts w:eastAsia="Times New Roman"/>
        </w:rPr>
        <w:noBreakHyphen/>
        <w:t>four years and who has not completed the required hunter education certification, may obtain a senior lifetime fishing license for nine dollars, one dollar of which the issuing sales vendor may retain. Upon completion of the hunter education certification the licensee may apply to the department for the additional senior lifetime hunting privileges at no cost.</w:t>
      </w:r>
    </w:p>
    <w:p w14:paraId="2FA928FD" w14:textId="3B15E910" w:rsidR="006D3EB5" w:rsidRPr="008E6EB3"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006D3EB5" w:rsidRPr="00C25257">
        <w:rPr>
          <w:rFonts w:eastAsia="Times New Roman"/>
        </w:rPr>
        <w:t xml:space="preserve">A member of </w:t>
      </w:r>
      <w:r w:rsidR="006D3EB5" w:rsidRPr="00C25257">
        <w:rPr>
          <w:rFonts w:eastAsia="Times New Roman"/>
          <w:strike/>
        </w:rPr>
        <w:t>the Catawba</w:t>
      </w:r>
      <w:r w:rsidR="006D3EB5" w:rsidRPr="00C25257">
        <w:rPr>
          <w:rFonts w:eastAsia="Times New Roman"/>
        </w:rPr>
        <w:t xml:space="preserve"> </w:t>
      </w:r>
      <w:r w:rsidR="006D3EB5">
        <w:rPr>
          <w:rFonts w:eastAsia="Times New Roman"/>
          <w:u w:val="single"/>
        </w:rPr>
        <w:t>a Native American</w:t>
      </w:r>
      <w:r w:rsidR="006D3EB5">
        <w:rPr>
          <w:rFonts w:eastAsia="Times New Roman"/>
        </w:rPr>
        <w:t xml:space="preserve"> </w:t>
      </w:r>
      <w:r w:rsidR="006D3EB5" w:rsidRPr="00C25257">
        <w:rPr>
          <w:rFonts w:eastAsia="Times New Roman"/>
        </w:rPr>
        <w:t>Indian Tribe,</w:t>
      </w:r>
      <w:r w:rsidR="006D3EB5">
        <w:rPr>
          <w:rFonts w:eastAsia="Times New Roman"/>
        </w:rPr>
        <w:t xml:space="preserve"> </w:t>
      </w:r>
      <w:r w:rsidR="006D3EB5">
        <w:rPr>
          <w:rFonts w:eastAsia="Times New Roman"/>
          <w:u w:val="single"/>
        </w:rPr>
        <w:t>recognized by the United States government or the South Carolina Commission for Minority Affairs</w:t>
      </w:r>
      <w:r w:rsidR="007B68B8">
        <w:rPr>
          <w:rFonts w:eastAsia="Times New Roman"/>
          <w:u w:val="single"/>
        </w:rPr>
        <w:t>,</w:t>
      </w:r>
      <w:r w:rsidR="006D3EB5" w:rsidRPr="00C25257">
        <w:rPr>
          <w:rFonts w:eastAsia="Times New Roman"/>
        </w:rPr>
        <w:t xml:space="preserve"> who is a resident of this State, upon application to the department at its designated licensing locations may obtain a </w:t>
      </w:r>
      <w:r w:rsidR="006D3EB5" w:rsidRPr="00C25257">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 xml:space="preserve">hunting and fishing license at no cost. </w:t>
      </w:r>
      <w:r w:rsidR="006D3EB5" w:rsidRPr="008E6EB3">
        <w:rPr>
          <w:rFonts w:eastAsia="Times New Roman"/>
          <w:strike/>
        </w:rPr>
        <w:t>A certification must be included with the application from the Chief of the Catawba Indian Tribe stating the applicant is a bona fide member of the tribe.</w:t>
      </w:r>
      <w:r w:rsidR="006D3EB5">
        <w:rPr>
          <w:rFonts w:eastAsia="Times New Roman"/>
        </w:rPr>
        <w:t xml:space="preserve"> </w:t>
      </w:r>
      <w:r w:rsidR="006D3EB5">
        <w:rPr>
          <w:rFonts w:eastAsia="Times New Roman"/>
          <w:u w:val="single"/>
        </w:rPr>
        <w:t>Along with the application</w:t>
      </w:r>
      <w:r w:rsidR="007B68B8">
        <w:rPr>
          <w:rFonts w:eastAsia="Times New Roman"/>
          <w:u w:val="single"/>
        </w:rPr>
        <w:t>,</w:t>
      </w:r>
      <w:r w:rsidR="006D3EB5">
        <w:rPr>
          <w:rFonts w:eastAsia="Times New Roman"/>
          <w:u w:val="single"/>
        </w:rPr>
        <w:t xml:space="preserve"> a Native American Indian must submit an affidavit, signed by the chief of his tribe certifying the applicant is a member of the chief’s tribe. The Department of Natural Resources may develop a form affidavit to use for all Native American Indian hunting and fishing licenses.</w:t>
      </w:r>
    </w:p>
    <w:p w14:paraId="0796301B" w14:textId="53EEAEA3" w:rsidR="006D3EB5" w:rsidRPr="00C25257"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6D3EB5" w:rsidRPr="00C25257">
        <w:rPr>
          <w:rFonts w:eastAsia="Times New Roman"/>
        </w:rPr>
        <w:t xml:space="preserve">A member of </w:t>
      </w:r>
      <w:r w:rsidR="006D3EB5" w:rsidRPr="00C43228">
        <w:rPr>
          <w:rFonts w:eastAsia="Times New Roman"/>
          <w:strike/>
        </w:rPr>
        <w:t>the Catawba</w:t>
      </w:r>
      <w:r w:rsidR="006D3EB5" w:rsidRPr="00C25257">
        <w:rPr>
          <w:rFonts w:eastAsia="Times New Roman"/>
        </w:rPr>
        <w:t xml:space="preserve"> </w:t>
      </w:r>
      <w:r w:rsidR="007B68B8">
        <w:rPr>
          <w:rFonts w:eastAsia="Times New Roman"/>
        </w:rPr>
        <w:t xml:space="preserve">a </w:t>
      </w:r>
      <w:r w:rsidR="006D3EB5">
        <w:rPr>
          <w:rFonts w:eastAsia="Times New Roman"/>
          <w:u w:val="single"/>
        </w:rPr>
        <w:t>Native American</w:t>
      </w:r>
      <w:r w:rsidR="006D3EB5">
        <w:rPr>
          <w:rFonts w:eastAsia="Times New Roman"/>
        </w:rPr>
        <w:t xml:space="preserve"> </w:t>
      </w:r>
      <w:r w:rsidR="006D3EB5" w:rsidRPr="00C25257">
        <w:rPr>
          <w:rFonts w:eastAsia="Times New Roman"/>
        </w:rPr>
        <w:t xml:space="preserve">Indian Tribe, who is a resident of this State born after June 30, 1979, and who has not completed the required hunter education certification, may obtain a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 xml:space="preserve">fishing license at no cost. Upon completion of the hunter education certification the licensee may apply to the department for the additional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hunting privileges at no cost.</w:t>
      </w:r>
    </w:p>
    <w:p w14:paraId="27C02625" w14:textId="5BC8B004" w:rsidR="006D3EB5" w:rsidRPr="00C25257"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6D3EB5" w:rsidRPr="00C25257">
        <w:rPr>
          <w:rFonts w:eastAsia="Times New Roman"/>
        </w:rPr>
        <w:t xml:space="preserve">Gratis, senior, and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licenses hunting privileges include statewide hunting, hunting big game, hunting on wildlife management area lands, and hunting migratory waterfowl. The fishing privileges of these licenses include freshwater fishing, freshwater fishing using a set hook, and saltwater fishing.</w:t>
      </w:r>
    </w:p>
    <w:p w14:paraId="118424F9" w14:textId="18481B45" w:rsidR="006D3EB5"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6D3EB5" w:rsidRPr="00C25257">
        <w:rPr>
          <w:rFonts w:eastAsia="Times New Roman"/>
        </w:rPr>
        <w:t xml:space="preserve">There is no cost to a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t xml:space="preserve"> </w:t>
      </w:r>
      <w:r w:rsidR="006D3EB5" w:rsidRPr="00C25257">
        <w:rPr>
          <w:rFonts w:eastAsia="Times New Roman"/>
        </w:rPr>
        <w:t xml:space="preserve">hunting and fishing licensee for any other tags required by law for </w:t>
      </w:r>
      <w:r w:rsidR="006D3EB5" w:rsidRPr="00C25257">
        <w:rPr>
          <w:rFonts w:eastAsia="Times New Roman"/>
        </w:rPr>
        <w:lastRenderedPageBreak/>
        <w:t>recreational hunting and fishing except for those department hunting and fishing activities controlled by lottery.</w:t>
      </w:r>
      <w:r w:rsidR="006D3EB5">
        <w:rPr>
          <w:rFonts w:eastAsia="Times New Roman"/>
        </w:rPr>
        <w:t>”</w:t>
      </w:r>
    </w:p>
    <w:p w14:paraId="158B1B88"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BF74B"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50-9-570(B) of the 1976 Code is amended to read:</w:t>
      </w:r>
    </w:p>
    <w:p w14:paraId="243AA548"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374FF"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43228">
        <w:rPr>
          <w:rFonts w:eastAsia="Times New Roman"/>
        </w:rPr>
        <w:t>Residents who have attained the age of sixty</w:t>
      </w:r>
      <w:r w:rsidRPr="00C43228">
        <w:rPr>
          <w:rFonts w:eastAsia="Times New Roman"/>
        </w:rPr>
        <w:noBreakHyphen/>
        <w:t xml:space="preserve">four and hold a lifetime statewide hunting license, lifetime statewide combination license, gratis lifetime hunting and fishing license, senior lifetime hunting and fishing license, or </w:t>
      </w:r>
      <w:r w:rsidRPr="00C43228">
        <w:rPr>
          <w:rFonts w:eastAsia="Times New Roman"/>
          <w:strike/>
        </w:rPr>
        <w:t>Catawba</w:t>
      </w:r>
      <w:r w:rsidRPr="00C43228">
        <w:rPr>
          <w:rFonts w:eastAsia="Times New Roman"/>
        </w:rPr>
        <w:t xml:space="preserve"> </w:t>
      </w:r>
      <w:r>
        <w:rPr>
          <w:rFonts w:eastAsia="Times New Roman"/>
          <w:u w:val="single"/>
        </w:rPr>
        <w:t>Native American Indian</w:t>
      </w:r>
      <w:r>
        <w:rPr>
          <w:rFonts w:eastAsia="Times New Roman"/>
        </w:rPr>
        <w:t xml:space="preserve"> </w:t>
      </w:r>
      <w:r w:rsidRPr="00C43228">
        <w:rPr>
          <w:rFonts w:eastAsia="Times New Roman"/>
        </w:rPr>
        <w:t>hunting and fishing license are not required to obtain a migratory game bird permit.</w:t>
      </w:r>
      <w:r>
        <w:rPr>
          <w:rFonts w:eastAsia="Times New Roman"/>
        </w:rPr>
        <w:t>”</w:t>
      </w:r>
    </w:p>
    <w:p w14:paraId="490C6388"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32CD9"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50-11-515 of the 1976 Code is amended to read:</w:t>
      </w:r>
    </w:p>
    <w:p w14:paraId="40EC75DF"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72BB5C" w14:textId="0A541417" w:rsidR="006D3EB5" w:rsidRPr="009E209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50-11-515</w:t>
      </w:r>
      <w:r w:rsidR="00421E41">
        <w:rPr>
          <w:rFonts w:eastAsia="Times New Roman"/>
        </w:rPr>
        <w:t>.</w:t>
      </w:r>
      <w:r>
        <w:rPr>
          <w:rFonts w:eastAsia="Times New Roman"/>
        </w:rPr>
        <w:tab/>
      </w:r>
      <w:r w:rsidRPr="006F3C66">
        <w:rPr>
          <w:rFonts w:eastAsia="Times New Roman"/>
        </w:rPr>
        <w:t>(A)</w:t>
      </w:r>
      <w:r w:rsidR="00A80B00">
        <w:rPr>
          <w:rFonts w:eastAsia="Times New Roman"/>
        </w:rPr>
        <w:tab/>
      </w:r>
      <w:r w:rsidRPr="006F3C66">
        <w:rPr>
          <w:rFonts w:eastAsia="Times New Roman"/>
          <w:strike/>
        </w:rPr>
        <w:t>An</w:t>
      </w:r>
      <w:r w:rsidRPr="009E2095">
        <w:rPr>
          <w:rFonts w:eastAsia="Times New Roman"/>
        </w:rPr>
        <w:t xml:space="preserve"> </w:t>
      </w:r>
      <w:r>
        <w:rPr>
          <w:rFonts w:eastAsia="Times New Roman"/>
          <w:u w:val="single"/>
        </w:rPr>
        <w:t>A Native</w:t>
      </w:r>
      <w:r>
        <w:rPr>
          <w:rFonts w:eastAsia="Times New Roman"/>
        </w:rPr>
        <w:t xml:space="preserve"> </w:t>
      </w:r>
      <w:r w:rsidRPr="009E2095">
        <w:rPr>
          <w:rFonts w:eastAsia="Times New Roman"/>
        </w:rPr>
        <w:t>American Indian artist, who is a member of a tribe recognized by (1) Public Law 101</w:t>
      </w:r>
      <w:r w:rsidRPr="009E2095">
        <w:rPr>
          <w:rFonts w:eastAsia="Times New Roman"/>
        </w:rPr>
        <w:noBreakHyphen/>
        <w:t>644, the Indian Arts and Crafts Board Act, and (2) the state’s Commission on Minority Affairs pursuant to Section 1</w:t>
      </w:r>
      <w:r w:rsidRPr="009E2095">
        <w:rPr>
          <w:rFonts w:eastAsia="Times New Roman"/>
        </w:rPr>
        <w:noBreakHyphen/>
        <w:t>31</w:t>
      </w:r>
      <w:r w:rsidRPr="009E2095">
        <w:rPr>
          <w:rFonts w:eastAsia="Times New Roman"/>
        </w:rPr>
        <w:noBreakHyphen/>
        <w:t xml:space="preserve">40, </w:t>
      </w:r>
      <w:r w:rsidRPr="009E2095">
        <w:rPr>
          <w:rFonts w:eastAsia="Times New Roman"/>
          <w:strike/>
        </w:rPr>
        <w:t>may use wild turkey feathers in arts and crafts that are offered for sale and sold to the general public</w:t>
      </w:r>
      <w:r>
        <w:rPr>
          <w:rFonts w:eastAsia="Times New Roman"/>
        </w:rPr>
        <w:t xml:space="preserve"> </w:t>
      </w:r>
      <w:r>
        <w:rPr>
          <w:rFonts w:eastAsia="Times New Roman"/>
          <w:u w:val="single"/>
        </w:rPr>
        <w:t>is not restricted from the sale to the general public of any traditional craft based upon the use of waste parts of any legally taken game animal,</w:t>
      </w:r>
      <w:r>
        <w:rPr>
          <w:rFonts w:eastAsia="Times New Roman"/>
        </w:rPr>
        <w:t xml:space="preserve"> </w:t>
      </w:r>
      <w:r w:rsidRPr="008F1597">
        <w:rPr>
          <w:rFonts w:eastAsia="Times New Roman"/>
        </w:rPr>
        <w:t>if the artist has on his person a tribal identification card demonstrating his authorization pursuant to</w:t>
      </w:r>
      <w:r>
        <w:rPr>
          <w:rFonts w:eastAsia="Times New Roman"/>
        </w:rPr>
        <w:t xml:space="preserve"> </w:t>
      </w:r>
      <w:r>
        <w:rPr>
          <w:rFonts w:eastAsia="Times New Roman"/>
          <w:u w:val="single"/>
        </w:rPr>
        <w:t>this section</w:t>
      </w:r>
      <w:r>
        <w:rPr>
          <w:rFonts w:eastAsia="Times New Roman"/>
        </w:rPr>
        <w:t xml:space="preserve"> </w:t>
      </w:r>
      <w:r w:rsidRPr="009E2095">
        <w:rPr>
          <w:rFonts w:eastAsia="Times New Roman"/>
          <w:strike/>
        </w:rPr>
        <w:t>the Indian Arts and Crafts Board Act</w:t>
      </w:r>
      <w:r>
        <w:rPr>
          <w:rFonts w:eastAsia="Times New Roman"/>
        </w:rPr>
        <w:t xml:space="preserve"> </w:t>
      </w:r>
      <w:r w:rsidRPr="009E2095">
        <w:rPr>
          <w:rFonts w:eastAsia="Times New Roman"/>
        </w:rPr>
        <w:t>.</w:t>
      </w:r>
    </w:p>
    <w:p w14:paraId="2E8A9FF9" w14:textId="7297C525" w:rsidR="00FA772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E2095">
        <w:rPr>
          <w:rFonts w:eastAsia="Times New Roman"/>
        </w:rPr>
        <w:tab/>
        <w:t>(B)</w:t>
      </w:r>
      <w:r w:rsidR="00A80B00">
        <w:rPr>
          <w:rFonts w:eastAsia="Times New Roman"/>
        </w:rPr>
        <w:tab/>
      </w:r>
      <w:r w:rsidRPr="008F1597">
        <w:rPr>
          <w:rFonts w:eastAsia="Times New Roman"/>
          <w:strike/>
        </w:rPr>
        <w:t>This section does not authorize the sale of other parts of wild turkeys, whether taken lawfully or unlawfully, including, but not limited to, capes, beards, and fans</w:t>
      </w:r>
      <w:r>
        <w:rPr>
          <w:rFonts w:eastAsia="Times New Roman"/>
        </w:rPr>
        <w:t xml:space="preserve"> </w:t>
      </w:r>
      <w:r>
        <w:rPr>
          <w:rFonts w:eastAsia="Times New Roman"/>
          <w:u w:val="single"/>
        </w:rPr>
        <w:t xml:space="preserve">Prior to receiving a tribal identification card required by this section, a Native American Indian artist must submit an affidavit, signed by the chief of his tribe, to the South Carolina Commission on Minority Affairs certifying the Native American Indian </w:t>
      </w:r>
      <w:r w:rsidR="007B68B8">
        <w:rPr>
          <w:rFonts w:eastAsia="Times New Roman"/>
          <w:u w:val="single"/>
        </w:rPr>
        <w:t>a</w:t>
      </w:r>
      <w:r>
        <w:rPr>
          <w:rFonts w:eastAsia="Times New Roman"/>
          <w:u w:val="single"/>
        </w:rPr>
        <w:t>rtist is a member of the tribe. The South Carolina Commission on Minority Affairs may develop a form affidavit for use by all Native American Indian artists seeking tribal identification cards.</w:t>
      </w:r>
      <w:r>
        <w:rPr>
          <w:rFonts w:eastAsia="Times New Roman"/>
        </w:rPr>
        <w:t>”</w:t>
      </w:r>
    </w:p>
    <w:p w14:paraId="1727EE59" w14:textId="77777777" w:rsidR="00FA7725"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F8C78" w14:textId="77777777" w:rsidR="00FA7725" w:rsidRPr="00522CE0"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3EB5">
        <w:rPr>
          <w:rFonts w:eastAsia="Times New Roman"/>
        </w:rPr>
        <w:t>5</w:t>
      </w:r>
      <w:r>
        <w:rPr>
          <w:rFonts w:eastAsia="Times New Roman"/>
        </w:rPr>
        <w:t>.</w:t>
      </w:r>
      <w:r>
        <w:rPr>
          <w:rFonts w:eastAsia="Times New Roman"/>
        </w:rPr>
        <w:tab/>
        <w:t>This act takes effect upon approval by the Governor.</w:t>
      </w:r>
    </w:p>
    <w:p w14:paraId="02DB7394" w14:textId="0630CE32" w:rsidR="001707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E0A98D3" w14:textId="77777777" w:rsidR="00A34A7A" w:rsidRDefault="00A34A7A" w:rsidP="00A34A7A">
      <w:pPr>
        <w:suppressAutoHyphens/>
        <w:jc w:val="both"/>
        <w:rPr>
          <w:rFonts w:eastAsia="Times New Roman"/>
        </w:rPr>
      </w:pPr>
    </w:p>
    <w:sectPr w:rsidR="00A34A7A" w:rsidSect="00A34A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2A954" w14:textId="77777777" w:rsidR="00BA5D1F" w:rsidRDefault="00BA5D1F" w:rsidP="00522CE0">
      <w:r>
        <w:separator/>
      </w:r>
    </w:p>
  </w:endnote>
  <w:endnote w:type="continuationSeparator" w:id="0">
    <w:p w14:paraId="01B249E5" w14:textId="77777777" w:rsidR="00BA5D1F" w:rsidRDefault="00BA5D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841F9B-0F8C-4427-B355-F2CDBCEC6BA2}"/>
    <w:embedBold r:id="rId2" w:fontKey="{BFF92EB5-8BB4-4CA6-99C2-4698A550D4E8}"/>
  </w:font>
  <w:font w:name="Calibri">
    <w:panose1 w:val="020F0502020204030204"/>
    <w:charset w:val="00"/>
    <w:family w:val="swiss"/>
    <w:pitch w:val="variable"/>
    <w:sig w:usb0="E00002FF" w:usb1="4000ACFF" w:usb2="00000001" w:usb3="00000000" w:csb0="0000019F" w:csb1="00000000"/>
    <w:embedRegular r:id="rId3" w:fontKey="{18EA8F91-AE05-4BCF-9E12-096D456D68A3}"/>
    <w:embedBold r:id="rId4" w:fontKey="{5AC354E4-737E-4F95-A443-487C09C8C842}"/>
  </w:font>
  <w:font w:name="Segoe UI">
    <w:panose1 w:val="020B0502040204020203"/>
    <w:charset w:val="00"/>
    <w:family w:val="swiss"/>
    <w:pitch w:val="variable"/>
    <w:sig w:usb0="E10022FF" w:usb1="C000E47F" w:usb2="00000029" w:usb3="00000000" w:csb0="000001DF" w:csb1="00000000"/>
    <w:embedRegular r:id="rId5" w:fontKey="{17172FCE-F759-41A0-BF1E-881C2384F886}"/>
  </w:font>
  <w:font w:name="Cambria">
    <w:panose1 w:val="02040503050406030204"/>
    <w:charset w:val="00"/>
    <w:family w:val="roman"/>
    <w:pitch w:val="variable"/>
    <w:sig w:usb0="E00002FF" w:usb1="400004FF" w:usb2="00000000" w:usb3="00000000" w:csb0="0000019F" w:csb1="00000000"/>
    <w:embedRegular r:id="rId6" w:fontKey="{03BF1C82-ADEC-49A4-A40B-5D1BAE197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6B6B7" w14:textId="2B20E70B" w:rsidR="001707B8" w:rsidRPr="00A34A7A" w:rsidRDefault="00A34A7A" w:rsidP="00A34A7A">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A8E06" w14:textId="77777777" w:rsidR="00BA5D1F" w:rsidRDefault="00BA5D1F" w:rsidP="00522CE0">
      <w:r>
        <w:separator/>
      </w:r>
    </w:p>
  </w:footnote>
  <w:footnote w:type="continuationSeparator" w:id="0">
    <w:p w14:paraId="75CF6C0D" w14:textId="77777777" w:rsidR="00BA5D1F" w:rsidRDefault="00BA5D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NATI.EB.JTM"/>
    <w:docVar w:name="CoverAttorneyInitials" w:val="EB"/>
    <w:docVar w:name="CoverAttorneyLastName" w:val="Bender"/>
    <w:docVar w:name="CoverBillType" w:val="b"/>
    <w:docVar w:name="CoverSenator" w:val="JTM"/>
    <w:docVar w:name="dvBillNumber" w:val="26"/>
    <w:docVar w:name="dvBillNumberPrefix" w:val="S. "/>
    <w:docVar w:name="dvOriginalBody" w:val="Senate"/>
    <w:docVar w:name="fulldraftpath" w:val="L:\S-RES\JTM\003NATI.EB.JTM.DOCX"/>
    <w:docVar w:name="NameofBody" w:val="S"/>
    <w:docVar w:name="vgroup2" w:val="S-RES"/>
  </w:docVars>
  <w:rsids>
    <w:rsidRoot w:val="00FA7725"/>
    <w:rsid w:val="00042AC1"/>
    <w:rsid w:val="00046516"/>
    <w:rsid w:val="0007601D"/>
    <w:rsid w:val="000B0720"/>
    <w:rsid w:val="000B5EAF"/>
    <w:rsid w:val="001315B2"/>
    <w:rsid w:val="00170561"/>
    <w:rsid w:val="001707B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21E41"/>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7470E"/>
    <w:rsid w:val="006A1802"/>
    <w:rsid w:val="006C74EA"/>
    <w:rsid w:val="006D3EB5"/>
    <w:rsid w:val="00720D40"/>
    <w:rsid w:val="007318D4"/>
    <w:rsid w:val="00765784"/>
    <w:rsid w:val="007A4390"/>
    <w:rsid w:val="007A46E2"/>
    <w:rsid w:val="007B68B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4A7A"/>
    <w:rsid w:val="00A4011E"/>
    <w:rsid w:val="00A80B00"/>
    <w:rsid w:val="00A86015"/>
    <w:rsid w:val="00A9594E"/>
    <w:rsid w:val="00AE59C8"/>
    <w:rsid w:val="00B10098"/>
    <w:rsid w:val="00B5790D"/>
    <w:rsid w:val="00B945C5"/>
    <w:rsid w:val="00BA20EA"/>
    <w:rsid w:val="00BA5D1F"/>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2E41"/>
    <w:rsid w:val="00E058D3"/>
    <w:rsid w:val="00E2236D"/>
    <w:rsid w:val="00E243BA"/>
    <w:rsid w:val="00E76AD9"/>
    <w:rsid w:val="00E91E2F"/>
    <w:rsid w:val="00EA3546"/>
    <w:rsid w:val="00EB47AE"/>
    <w:rsid w:val="00EC34E1"/>
    <w:rsid w:val="00F0234A"/>
    <w:rsid w:val="00F05CF2"/>
    <w:rsid w:val="00F51241"/>
    <w:rsid w:val="00F52959"/>
    <w:rsid w:val="00F55884"/>
    <w:rsid w:val="00FA77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4CEE0E"/>
  <w15:docId w15:val="{296E2683-36EF-4849-ADCB-590DB96E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5D1F"/>
    <w:rPr>
      <w:sz w:val="16"/>
      <w:szCs w:val="16"/>
    </w:rPr>
  </w:style>
  <w:style w:type="paragraph" w:styleId="CommentText">
    <w:name w:val="annotation text"/>
    <w:basedOn w:val="Normal"/>
    <w:link w:val="CommentTextChar"/>
    <w:uiPriority w:val="99"/>
    <w:semiHidden/>
    <w:unhideWhenUsed/>
    <w:rsid w:val="00BA5D1F"/>
    <w:rPr>
      <w:sz w:val="20"/>
      <w:szCs w:val="20"/>
    </w:rPr>
  </w:style>
  <w:style w:type="character" w:customStyle="1" w:styleId="CommentTextChar">
    <w:name w:val="Comment Text Char"/>
    <w:basedOn w:val="DefaultParagraphFont"/>
    <w:link w:val="CommentText"/>
    <w:uiPriority w:val="99"/>
    <w:semiHidden/>
    <w:rsid w:val="00BA5D1F"/>
    <w:rPr>
      <w:sz w:val="20"/>
      <w:szCs w:val="20"/>
    </w:rPr>
  </w:style>
  <w:style w:type="paragraph" w:styleId="CommentSubject">
    <w:name w:val="annotation subject"/>
    <w:basedOn w:val="CommentText"/>
    <w:next w:val="CommentText"/>
    <w:link w:val="CommentSubjectChar"/>
    <w:uiPriority w:val="99"/>
    <w:semiHidden/>
    <w:unhideWhenUsed/>
    <w:rsid w:val="00BA5D1F"/>
    <w:rPr>
      <w:b/>
      <w:bCs/>
    </w:rPr>
  </w:style>
  <w:style w:type="character" w:customStyle="1" w:styleId="CommentSubjectChar">
    <w:name w:val="Comment Subject Char"/>
    <w:basedOn w:val="CommentTextChar"/>
    <w:link w:val="CommentSubject"/>
    <w:uiPriority w:val="99"/>
    <w:semiHidden/>
    <w:rsid w:val="00BA5D1F"/>
    <w:rPr>
      <w:b/>
      <w:bCs/>
      <w:sz w:val="20"/>
      <w:szCs w:val="20"/>
    </w:rPr>
  </w:style>
  <w:style w:type="paragraph" w:styleId="BalloonText">
    <w:name w:val="Balloon Text"/>
    <w:basedOn w:val="Normal"/>
    <w:link w:val="BalloonTextChar"/>
    <w:uiPriority w:val="99"/>
    <w:semiHidden/>
    <w:unhideWhenUsed/>
    <w:rsid w:val="00BA5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D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3</Pages>
  <Words>901</Words>
  <Characters>4691</Characters>
  <Application>Microsoft Office Word</Application>
  <DocSecurity>0</DocSecurity>
  <Lines>121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 Text of Previous Version (Dec. 13, 2016) - South Carolina Legislature Online</dc:title>
  <dc:subject/>
  <dc:creator>Rebecca Landau</dc:creator>
  <cp:keywords/>
  <dc:description/>
  <cp:lastModifiedBy>Angela Hill</cp:lastModifiedBy>
  <cp:revision>2</cp:revision>
  <dcterms:created xsi:type="dcterms:W3CDTF">2016-12-13T18:33:00Z</dcterms:created>
  <dcterms:modified xsi:type="dcterms:W3CDTF">2016-12-13T18:33:00Z</dcterms:modified>
</cp:coreProperties>
</file>