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B03" w:rsidRDefault="00AF6B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3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972">
        <w:rPr>
          <w:color w:val="000000" w:themeColor="text1"/>
          <w:u w:color="000000" w:themeColor="text1"/>
        </w:rPr>
        <w:t>TO AMEND SECTION 12</w:t>
      </w:r>
      <w:r>
        <w:rPr>
          <w:color w:val="000000" w:themeColor="text1"/>
          <w:u w:color="000000" w:themeColor="text1"/>
        </w:rPr>
        <w:noBreakHyphen/>
      </w:r>
      <w:r w:rsidRPr="00CE3972">
        <w:rPr>
          <w:color w:val="000000" w:themeColor="text1"/>
          <w:u w:color="000000" w:themeColor="text1"/>
        </w:rPr>
        <w:t>43</w:t>
      </w:r>
      <w:r>
        <w:rPr>
          <w:color w:val="000000" w:themeColor="text1"/>
          <w:u w:color="000000" w:themeColor="text1"/>
        </w:rPr>
        <w:noBreakHyphen/>
      </w:r>
      <w:r w:rsidRPr="00CE3972">
        <w:rPr>
          <w:color w:val="000000" w:themeColor="text1"/>
          <w:u w:color="000000" w:themeColor="text1"/>
        </w:rPr>
        <w:t>220, AS AMENDED, CODE OF LAWS OF SOUTH CAROLINA, 1976, RELATING TO ASSESSMENT RATIOS, SO AS TO PROVIDE THAT WHEN AN OWNER RECEIVING THE FOUR PERCENT ASSESSMENT RATIO DIES, THE PROPERTY SHALL CONTINUE TO RECEIVE THE SPECIAL ASSESSMENT RATE UNTIL THE DECEASED</w:t>
      </w:r>
      <w:r w:rsidRPr="002568DB">
        <w:rPr>
          <w:color w:val="000000" w:themeColor="text1"/>
          <w:u w:color="000000" w:themeColor="text1"/>
        </w:rPr>
        <w:t>’</w:t>
      </w:r>
      <w:r w:rsidRPr="00CE3972">
        <w:rPr>
          <w:color w:val="000000" w:themeColor="text1"/>
          <w:u w:color="000000" w:themeColor="text1"/>
        </w:rPr>
        <w:t>S ESTATE IS CLOSED, SO LON</w:t>
      </w:r>
      <w:r>
        <w:rPr>
          <w:color w:val="000000" w:themeColor="text1"/>
          <w:u w:color="000000" w:themeColor="text1"/>
        </w:rPr>
        <w:t>G AS THE PROPERTY IS NOT RENTED</w:t>
      </w:r>
      <w:r w:rsidRPr="00CE397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3C4" w:rsidRDefault="00743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3C4" w:rsidRDefault="00743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8DB" w:rsidRPr="00CE3972" w:rsidRDefault="007433C4"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68DB" w:rsidRPr="00CE3972">
        <w:rPr>
          <w:color w:val="000000" w:themeColor="text1"/>
          <w:u w:color="000000" w:themeColor="text1"/>
        </w:rPr>
        <w:t>Section 12</w:t>
      </w:r>
      <w:r w:rsidR="002568DB">
        <w:rPr>
          <w:color w:val="000000" w:themeColor="text1"/>
          <w:u w:color="000000" w:themeColor="text1"/>
        </w:rPr>
        <w:noBreakHyphen/>
      </w:r>
      <w:r w:rsidR="002568DB" w:rsidRPr="00CE3972">
        <w:rPr>
          <w:color w:val="000000" w:themeColor="text1"/>
          <w:u w:color="000000" w:themeColor="text1"/>
        </w:rPr>
        <w:t>43</w:t>
      </w:r>
      <w:r w:rsidR="002568DB">
        <w:rPr>
          <w:color w:val="000000" w:themeColor="text1"/>
          <w:u w:color="000000" w:themeColor="text1"/>
        </w:rPr>
        <w:noBreakHyphen/>
      </w:r>
      <w:r w:rsidR="002568DB" w:rsidRPr="00CE3972">
        <w:rPr>
          <w:color w:val="000000" w:themeColor="text1"/>
          <w:u w:color="000000" w:themeColor="text1"/>
        </w:rPr>
        <w:t>220(c) of the 1976 Code, as last amende</w:t>
      </w:r>
      <w:r w:rsidR="002568DB">
        <w:rPr>
          <w:color w:val="000000" w:themeColor="text1"/>
          <w:u w:color="000000" w:themeColor="text1"/>
        </w:rPr>
        <w:t>d by Act 251 of 2016</w:t>
      </w:r>
      <w:r w:rsidR="002568DB" w:rsidRPr="00CE3972">
        <w:rPr>
          <w:color w:val="000000" w:themeColor="text1"/>
          <w:u w:color="000000" w:themeColor="text1"/>
        </w:rPr>
        <w:t>, is further amended by adding an appropriately numbered subitem at the end to read:</w:t>
      </w:r>
    </w:p>
    <w:p w:rsidR="002568DB" w:rsidRPr="00CE3972"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8DB" w:rsidRPr="00CE3972"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972">
        <w:rPr>
          <w:color w:val="000000" w:themeColor="text1"/>
          <w:u w:color="000000" w:themeColor="text1"/>
        </w:rPr>
        <w:tab/>
        <w:t>“(  )</w:t>
      </w:r>
      <w:r w:rsidRPr="00CE3972">
        <w:rPr>
          <w:color w:val="000000" w:themeColor="text1"/>
          <w:u w:color="000000" w:themeColor="text1"/>
        </w:rPr>
        <w:tab/>
        <w:t>Notwithstanding any other provision of law, when an owner receiving the special assessment rate pursuant to item (c) dies, the property shall continue to receive the special assessment rate until the deceased</w:t>
      </w:r>
      <w:r w:rsidRPr="002568DB">
        <w:rPr>
          <w:color w:val="000000" w:themeColor="text1"/>
          <w:u w:color="000000" w:themeColor="text1"/>
        </w:rPr>
        <w:t>’</w:t>
      </w:r>
      <w:r w:rsidRPr="00CE3972">
        <w:rPr>
          <w:color w:val="000000" w:themeColor="text1"/>
          <w:u w:color="000000" w:themeColor="text1"/>
        </w:rPr>
        <w:t>s estate is closed, or upon recording of a deed or deed of distribution out of the estate, whichever occurs first. This subitem only applies if the property is not rented.”</w:t>
      </w:r>
    </w:p>
    <w:p w:rsidR="002568DB" w:rsidRPr="00CE3972"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3C4"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972">
        <w:rPr>
          <w:color w:val="000000" w:themeColor="text1"/>
          <w:u w:color="000000" w:themeColor="text1"/>
        </w:rPr>
        <w:t>SECTION</w:t>
      </w:r>
      <w:r w:rsidRPr="00CE3972">
        <w:rPr>
          <w:color w:val="000000" w:themeColor="text1"/>
          <w:u w:color="000000" w:themeColor="text1"/>
        </w:rPr>
        <w:tab/>
        <w:t>2.</w:t>
      </w:r>
      <w:r w:rsidRPr="00CE3972">
        <w:rPr>
          <w:color w:val="000000" w:themeColor="text1"/>
          <w:u w:color="000000" w:themeColor="text1"/>
        </w:rPr>
        <w:tab/>
        <w:t>This act takes effect upon approval by the Governor and applies to propert</w:t>
      </w:r>
      <w:r>
        <w:rPr>
          <w:color w:val="000000" w:themeColor="text1"/>
          <w:u w:color="000000" w:themeColor="text1"/>
        </w:rPr>
        <w:t>y tax years beginning after 2016</w:t>
      </w:r>
      <w:r w:rsidRPr="00CE3972">
        <w:rPr>
          <w:color w:val="000000" w:themeColor="text1"/>
          <w:u w:color="000000" w:themeColor="text1"/>
        </w:rPr>
        <w:t>.</w:t>
      </w:r>
    </w:p>
    <w:p w:rsidR="00713E9D" w:rsidRDefault="002568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B03" w:rsidRDefault="00AF6B03" w:rsidP="00AF6B03">
      <w:pPr>
        <w:suppressAutoHyphens/>
      </w:pPr>
    </w:p>
    <w:sectPr w:rsidR="00AF6B03" w:rsidSect="00AF6B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4" w:rsidRDefault="007433C4" w:rsidP="009F0C77">
      <w:r>
        <w:separator/>
      </w:r>
    </w:p>
  </w:endnote>
  <w:endnote w:type="continuationSeparator" w:id="0">
    <w:p w:rsidR="007433C4" w:rsidRDefault="00743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A68DC5-A4F3-4717-872F-1120B2A6A3F1}"/>
    <w:embedBold r:id="rId2" w:fontKey="{3B405BD6-75FF-4D49-A8BB-7DAA27D86E88}"/>
  </w:font>
  <w:font w:name="Calibri">
    <w:panose1 w:val="020F0502020204030204"/>
    <w:charset w:val="00"/>
    <w:family w:val="swiss"/>
    <w:pitch w:val="variable"/>
    <w:sig w:usb0="E00002FF" w:usb1="4000ACFF" w:usb2="00000001" w:usb3="00000000" w:csb0="0000019F" w:csb1="00000000"/>
    <w:embedRegular r:id="rId3" w:fontKey="{0CA6FA73-6C23-4B83-AF36-271121B18624}"/>
  </w:font>
  <w:font w:name="Cambria">
    <w:panose1 w:val="02040503050406030204"/>
    <w:charset w:val="00"/>
    <w:family w:val="roman"/>
    <w:pitch w:val="variable"/>
    <w:sig w:usb0="E00002FF" w:usb1="400004FF" w:usb2="00000000" w:usb3="00000000" w:csb0="0000019F" w:csb1="00000000"/>
    <w:embedRegular r:id="rId4" w:fontKey="{83E1571F-8E93-44A4-AF89-A672BE1B6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E9D" w:rsidRPr="00AF6B03" w:rsidRDefault="00AF6B03" w:rsidP="00AF6B03">
    <w:pPr>
      <w:pStyle w:val="Footer"/>
      <w:tabs>
        <w:tab w:val="clear" w:pos="4680"/>
        <w:tab w:val="clear" w:pos="9360"/>
        <w:tab w:val="center" w:pos="2995"/>
      </w:tabs>
      <w:spacing w:before="120"/>
    </w:pPr>
    <w:r>
      <w:t>[3093]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4" w:rsidRDefault="007433C4" w:rsidP="009F0C77">
      <w:r>
        <w:separator/>
      </w:r>
    </w:p>
  </w:footnote>
  <w:footnote w:type="continuationSeparator" w:id="0">
    <w:p w:rsidR="007433C4" w:rsidRDefault="00743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9DG17"/>
    <w:docVar w:name="CoverBillType" w:val="b"/>
    <w:docVar w:name="DocPath" w:val="L:\Council\bills\BBM\9549DG17.DOCX"/>
    <w:docVar w:name="dvBillNumber" w:val="3093"/>
    <w:docVar w:name="dvBillNumberPrefix" w:val="H. "/>
    <w:docVar w:name="dvOriginalBody" w:val="House"/>
    <w:docVar w:name="dvSteno" w:val="BBM"/>
    <w:docVar w:name="NameofBody" w:val="h"/>
    <w:docVar w:name="vGroup2" w:val="Council"/>
  </w:docVars>
  <w:rsids>
    <w:rsidRoot w:val="007433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8DB"/>
    <w:rsid w:val="00284AAE"/>
    <w:rsid w:val="002E41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E9D"/>
    <w:rsid w:val="00734F00"/>
    <w:rsid w:val="007433C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B0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373B"/>
    <w:rsid w:val="00F24442"/>
    <w:rsid w:val="00F50AE3"/>
    <w:rsid w:val="00F57B2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7FA63-D934-4848-A2EA-D66A20391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D6E87-0656-4516-B170-75BD3ACA3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DB81B287.dotm</Template>
  <TotalTime>0</TotalTime>
  <Pages>1</Pages>
  <Words>187</Words>
  <Characters>917</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3093 Text of Previous Version (Dec. 15, 2016) - South Carolina Legislature Online</dc:title>
  <dc:creator>BRENDA MELTON</dc:creator>
  <cp:lastModifiedBy>S Volk</cp:lastModifiedBy>
  <cp:revision>2</cp:revision>
  <dcterms:created xsi:type="dcterms:W3CDTF">2016-12-16T15:36:00Z</dcterms:created>
  <dcterms:modified xsi:type="dcterms:W3CDTF">2016-12-16T15:36:00Z</dcterms:modified>
</cp:coreProperties>
</file>