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0EE" w:rsidRDefault="009240EE"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28" w:rsidRDefault="00142C28" w:rsidP="0014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37AE">
        <w:rPr>
          <w:color w:val="000000" w:themeColor="text1"/>
          <w:u w:color="000000" w:themeColor="text1"/>
        </w:rPr>
        <w:t>TO AMEND SECTION 44</w:t>
      </w:r>
      <w:r w:rsidR="00F45BC4">
        <w:rPr>
          <w:color w:val="000000" w:themeColor="text1"/>
          <w:u w:color="000000" w:themeColor="text1"/>
        </w:rPr>
        <w:noBreakHyphen/>
      </w:r>
      <w:r w:rsidRPr="004337AE">
        <w:rPr>
          <w:color w:val="000000" w:themeColor="text1"/>
          <w:u w:color="000000" w:themeColor="text1"/>
        </w:rPr>
        <w:t>23</w:t>
      </w:r>
      <w:r w:rsidR="00F45BC4">
        <w:rPr>
          <w:color w:val="000000" w:themeColor="text1"/>
          <w:u w:color="000000" w:themeColor="text1"/>
        </w:rPr>
        <w:noBreakHyphen/>
      </w:r>
      <w:r w:rsidRPr="004337AE">
        <w:rPr>
          <w:color w:val="000000" w:themeColor="text1"/>
          <w:u w:color="000000" w:themeColor="text1"/>
        </w:rPr>
        <w:t>430, AS AMENDED, CODE OF LAWS OF SOUTH CAROLINA, 1976, RELATING TO HEARINGS ON THE FITNESS OF A PERSON TO STAND TRIAL, SO AS TO REQUIRE THE DEPARTMENT OF MENTAL HEALTH TO REIMBURSE A SHERIFF OR A COUNTY OR MUNICIPAL GOVERNMENT FOR CERTAIN COSTS OF INCARCERATION OF PERSONS DETERMINED TO BE UNFIT TO STAND TRIAL.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70FCB" w:rsidRPr="00695F3E">
        <w:rPr>
          <w:color w:val="000000" w:themeColor="text1"/>
          <w:u w:color="000000" w:themeColor="text1"/>
        </w:rPr>
        <w:t>Section 44</w:t>
      </w:r>
      <w:r w:rsidR="00F45BC4">
        <w:rPr>
          <w:color w:val="000000" w:themeColor="text1"/>
          <w:u w:color="000000" w:themeColor="text1"/>
        </w:rPr>
        <w:noBreakHyphen/>
      </w:r>
      <w:r w:rsidR="00270FCB" w:rsidRPr="00695F3E">
        <w:rPr>
          <w:color w:val="000000" w:themeColor="text1"/>
          <w:u w:color="000000" w:themeColor="text1"/>
        </w:rPr>
        <w:t>23</w:t>
      </w:r>
      <w:r w:rsidR="00F45BC4">
        <w:rPr>
          <w:color w:val="000000" w:themeColor="text1"/>
          <w:u w:color="000000" w:themeColor="text1"/>
        </w:rPr>
        <w:noBreakHyphen/>
      </w:r>
      <w:r w:rsidR="00270FCB">
        <w:rPr>
          <w:color w:val="000000" w:themeColor="text1"/>
          <w:u w:color="000000" w:themeColor="text1"/>
        </w:rPr>
        <w:t>430 of the 1976 Code</w:t>
      </w:r>
      <w:r w:rsidR="00270FCB" w:rsidRPr="00695F3E">
        <w:rPr>
          <w:color w:val="000000" w:themeColor="text1"/>
          <w:u w:color="000000" w:themeColor="text1"/>
        </w:rPr>
        <w:t xml:space="preserve">, as last amended in Act </w:t>
      </w:r>
      <w:r w:rsidR="00270FCB">
        <w:rPr>
          <w:color w:val="000000" w:themeColor="text1"/>
          <w:u w:color="000000" w:themeColor="text1"/>
        </w:rPr>
        <w:t>47 of 2011</w:t>
      </w:r>
      <w:r w:rsidR="00270FCB" w:rsidRPr="00695F3E">
        <w:rPr>
          <w:color w:val="000000" w:themeColor="text1"/>
          <w:u w:color="000000" w:themeColor="text1"/>
        </w:rPr>
        <w:t>, is further amended to read:</w:t>
      </w:r>
    </w:p>
    <w:p w:rsidR="00C5127E" w:rsidRDefault="00C5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r>
      <w:r>
        <w:rPr>
          <w:szCs w:val="24"/>
        </w:rPr>
        <w:t>“Section 44</w:t>
      </w:r>
      <w:r w:rsidR="00F45BC4">
        <w:rPr>
          <w:szCs w:val="24"/>
        </w:rPr>
        <w:noBreakHyphen/>
      </w:r>
      <w:r>
        <w:rPr>
          <w:szCs w:val="24"/>
        </w:rPr>
        <w:t>23</w:t>
      </w:r>
      <w:r w:rsidR="00F45BC4">
        <w:rPr>
          <w:szCs w:val="24"/>
        </w:rPr>
        <w:noBreakHyphen/>
      </w:r>
      <w:r>
        <w:rPr>
          <w:szCs w:val="24"/>
        </w:rPr>
        <w:t>430.</w:t>
      </w:r>
      <w:r>
        <w:rPr>
          <w:szCs w:val="24"/>
        </w:rPr>
        <w:tab/>
      </w:r>
      <w:r w:rsidRPr="00D97DB2">
        <w:rPr>
          <w:szCs w:val="24"/>
        </w:rPr>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(1) the person is fit to stand trial, it shall order the criminal proceedings resumed; or</w:t>
      </w: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(2) the person is unfit to stand trial for the reasons set forth in Section 44</w:t>
      </w:r>
      <w:r w:rsidR="00F45BC4">
        <w:rPr>
          <w:szCs w:val="24"/>
        </w:rPr>
        <w:noBreakHyphen/>
      </w:r>
      <w:r w:rsidRPr="00D97DB2">
        <w:rPr>
          <w:szCs w:val="24"/>
        </w:rPr>
        <w:t>23</w:t>
      </w:r>
      <w:r w:rsidR="00F45BC4">
        <w:rPr>
          <w:szCs w:val="24"/>
        </w:rPr>
        <w:noBreakHyphen/>
      </w:r>
      <w:r w:rsidRPr="00D97DB2">
        <w:rPr>
          <w:szCs w:val="24"/>
        </w:rPr>
        <w:t>410 and is unlikely to become fit to stand trial in the foreseeable future, the solicitor responsible for the criminal prosecution shall initiate judicial admission proceedings pursuant to Sections 44</w:t>
      </w:r>
      <w:r w:rsidR="00F45BC4">
        <w:rPr>
          <w:szCs w:val="24"/>
        </w:rPr>
        <w:noBreakHyphen/>
      </w:r>
      <w:r w:rsidRPr="00D97DB2">
        <w:rPr>
          <w:szCs w:val="24"/>
        </w:rPr>
        <w:t>17</w:t>
      </w:r>
      <w:r w:rsidR="00F45BC4">
        <w:rPr>
          <w:szCs w:val="24"/>
        </w:rPr>
        <w:noBreakHyphen/>
      </w:r>
      <w:r w:rsidRPr="00D97DB2">
        <w:rPr>
          <w:szCs w:val="24"/>
        </w:rPr>
        <w:t>510 through 44</w:t>
      </w:r>
      <w:r w:rsidR="00F45BC4">
        <w:rPr>
          <w:szCs w:val="24"/>
        </w:rPr>
        <w:noBreakHyphen/>
      </w:r>
      <w:r w:rsidRPr="00D97DB2">
        <w:rPr>
          <w:szCs w:val="24"/>
        </w:rPr>
        <w:t>17</w:t>
      </w:r>
      <w:r w:rsidR="00F45BC4">
        <w:rPr>
          <w:szCs w:val="24"/>
        </w:rPr>
        <w:noBreakHyphen/>
      </w:r>
      <w:r w:rsidRPr="00D97DB2">
        <w:rPr>
          <w:szCs w:val="24"/>
        </w:rPr>
        <w:t>610 or Section 44</w:t>
      </w:r>
      <w:r w:rsidR="00F45BC4">
        <w:rPr>
          <w:szCs w:val="24"/>
        </w:rPr>
        <w:noBreakHyphen/>
      </w:r>
      <w:r w:rsidRPr="00D97DB2">
        <w:rPr>
          <w:szCs w:val="24"/>
        </w:rPr>
        <w:t>20</w:t>
      </w:r>
      <w:r w:rsidR="00F45BC4">
        <w:rPr>
          <w:szCs w:val="24"/>
        </w:rPr>
        <w:noBreakHyphen/>
      </w:r>
      <w:r w:rsidRPr="00D97DB2">
        <w:rPr>
          <w:szCs w:val="24"/>
        </w:rPr>
        <w:t xml:space="preserve">450 within </w:t>
      </w:r>
      <w:r w:rsidRPr="00D97DB2">
        <w:rPr>
          <w:szCs w:val="24"/>
        </w:rPr>
        <w:lastRenderedPageBreak/>
        <w:t>fourteen days, excluding Saturdays, Sundays, and holidays, during which time the court may order the person hospitalized, may order the person to continue in detention if detained, or, if on bond, may permit the person to remain on bond; or</w:t>
      </w:r>
    </w:p>
    <w:p w:rsid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(3) 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F45BC4">
        <w:rPr>
          <w:szCs w:val="24"/>
        </w:rPr>
        <w:noBreakHyphen/>
      </w:r>
      <w:r w:rsidRPr="00D97DB2">
        <w:rPr>
          <w:szCs w:val="24"/>
        </w:rPr>
        <w:t>17</w:t>
      </w:r>
      <w:r w:rsidR="00F45BC4">
        <w:rPr>
          <w:szCs w:val="24"/>
        </w:rPr>
        <w:noBreakHyphen/>
      </w:r>
      <w:r w:rsidRPr="00D97DB2">
        <w:rPr>
          <w:szCs w:val="24"/>
        </w:rPr>
        <w:t>510 through 44</w:t>
      </w:r>
      <w:r w:rsidR="00F45BC4">
        <w:rPr>
          <w:szCs w:val="24"/>
        </w:rPr>
        <w:noBreakHyphen/>
      </w:r>
      <w:r w:rsidRPr="00D97DB2">
        <w:rPr>
          <w:szCs w:val="24"/>
        </w:rPr>
        <w:t>17</w:t>
      </w:r>
      <w:r w:rsidR="00F45BC4">
        <w:rPr>
          <w:szCs w:val="24"/>
        </w:rPr>
        <w:noBreakHyphen/>
      </w:r>
      <w:r w:rsidRPr="00D97DB2">
        <w:rPr>
          <w:szCs w:val="24"/>
        </w:rPr>
        <w:t>610 or Section 44</w:t>
      </w:r>
      <w:r w:rsidR="00F45BC4">
        <w:rPr>
          <w:szCs w:val="24"/>
        </w:rPr>
        <w:noBreakHyphen/>
      </w:r>
      <w:r w:rsidRPr="00D97DB2">
        <w:rPr>
          <w:szCs w:val="24"/>
        </w:rPr>
        <w:t>20</w:t>
      </w:r>
      <w:r w:rsidR="00F45BC4">
        <w:rPr>
          <w:szCs w:val="24"/>
        </w:rPr>
        <w:noBreakHyphen/>
      </w:r>
      <w:r w:rsidRPr="00D97DB2">
        <w:rPr>
          <w:szCs w:val="24"/>
        </w:rPr>
        <w:t>450 within fourteen days, excluding Saturdays, Sundays, and holidays, during which time the person shall remain hospitalized.</w:t>
      </w:r>
    </w:p>
    <w:p w:rsidR="00F21E55" w:rsidRPr="00D97DB2" w:rsidRDefault="00F21E55"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F1311" w:rsidRPr="004337AE">
        <w:rPr>
          <w:color w:val="000000" w:themeColor="text1"/>
          <w:u w:val="single" w:color="000000" w:themeColor="text1"/>
        </w:rPr>
        <w:t>The Department of Mental Health is responsible for and must</w:t>
      </w:r>
      <w:r w:rsidR="005F1311" w:rsidRPr="004337AE">
        <w:rPr>
          <w:color w:val="000000" w:themeColor="text1"/>
          <w:u w:color="000000" w:themeColor="text1"/>
        </w:rPr>
        <w:t xml:space="preserve"> </w:t>
      </w:r>
      <w:r w:rsidR="005F1311" w:rsidRPr="004337AE">
        <w:rPr>
          <w:color w:val="000000" w:themeColor="text1"/>
          <w:u w:val="single" w:color="000000" w:themeColor="text1"/>
        </w:rPr>
        <w:t>reimburse any sheriff or county or municipal government for the</w:t>
      </w:r>
      <w:r w:rsidR="005F1311" w:rsidRPr="004337AE">
        <w:rPr>
          <w:color w:val="000000" w:themeColor="text1"/>
          <w:u w:color="000000" w:themeColor="text1"/>
        </w:rPr>
        <w:t xml:space="preserve"> </w:t>
      </w:r>
      <w:r w:rsidR="005F1311" w:rsidRPr="004337AE">
        <w:rPr>
          <w:color w:val="000000" w:themeColor="text1"/>
          <w:u w:val="single" w:color="000000" w:themeColor="text1"/>
        </w:rPr>
        <w:t>actual costs of detention of a person confined in a local detention</w:t>
      </w:r>
      <w:r w:rsidR="005F1311" w:rsidRPr="004337AE">
        <w:rPr>
          <w:color w:val="000000" w:themeColor="text1"/>
          <w:u w:color="000000" w:themeColor="text1"/>
        </w:rPr>
        <w:t xml:space="preserve"> </w:t>
      </w:r>
      <w:r w:rsidR="005F1311" w:rsidRPr="004337AE">
        <w:rPr>
          <w:color w:val="000000" w:themeColor="text1"/>
          <w:u w:val="single" w:color="000000" w:themeColor="text1"/>
        </w:rPr>
        <w:t>facility awaiting transfer to the department, beginning fifteen days</w:t>
      </w:r>
      <w:r w:rsidR="005F1311" w:rsidRPr="004337AE">
        <w:rPr>
          <w:color w:val="000000" w:themeColor="text1"/>
          <w:u w:color="000000" w:themeColor="text1"/>
        </w:rPr>
        <w:t xml:space="preserve"> </w:t>
      </w:r>
      <w:r w:rsidR="005F1311" w:rsidRPr="004337AE">
        <w:rPr>
          <w:color w:val="000000" w:themeColor="text1"/>
          <w:u w:val="single" w:color="000000" w:themeColor="text1"/>
        </w:rPr>
        <w:t>from the date of an order issued by a court of general sessions</w:t>
      </w:r>
      <w:r w:rsidR="005F1311" w:rsidRPr="004337AE">
        <w:rPr>
          <w:color w:val="000000" w:themeColor="text1"/>
          <w:u w:color="000000" w:themeColor="text1"/>
        </w:rPr>
        <w:t xml:space="preserve"> </w:t>
      </w:r>
      <w:r w:rsidR="005F1311" w:rsidRPr="004337AE">
        <w:rPr>
          <w:color w:val="000000" w:themeColor="text1"/>
          <w:u w:val="single" w:color="000000" w:themeColor="text1"/>
        </w:rPr>
        <w:t>pursuant to item (2) or (3).</w:t>
      </w:r>
    </w:p>
    <w:p w:rsidR="00D97DB2" w:rsidRPr="00D97DB2"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DB2">
        <w:rPr>
          <w:szCs w:val="24"/>
        </w:rPr>
        <w:tab/>
        <w:t>Subject to the provisions of Section 44</w:t>
      </w:r>
      <w:r w:rsidR="00F45BC4">
        <w:rPr>
          <w:szCs w:val="24"/>
        </w:rPr>
        <w:noBreakHyphen/>
      </w:r>
      <w:r w:rsidRPr="00D97DB2">
        <w:rPr>
          <w:szCs w:val="24"/>
        </w:rPr>
        <w:t>23</w:t>
      </w:r>
      <w:r w:rsidR="00F45BC4">
        <w:rPr>
          <w:szCs w:val="24"/>
        </w:rPr>
        <w:noBreakHyphen/>
      </w:r>
      <w:r w:rsidRPr="00D97DB2">
        <w:rPr>
          <w:szCs w:val="24"/>
        </w:rPr>
        <w:t>460, persons against whom criminal charges are pending shall have all the rights and privileges of other involuntarily hospitalized persons.</w:t>
      </w:r>
    </w:p>
    <w:p w:rsidR="00F21E55" w:rsidRPr="00F21E55" w:rsidRDefault="00D97DB2" w:rsidP="00D9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97DB2">
        <w:rPr>
          <w:szCs w:val="24"/>
        </w:rPr>
        <w:tab/>
        <w:t>Persons against whom criminal charges are pending but who are not involuntarily committed following judicial admission proceedings shall be released.</w:t>
      </w:r>
      <w:r w:rsidR="005F1311">
        <w:rPr>
          <w:szCs w:val="24"/>
        </w:rPr>
        <w:t>”</w:t>
      </w: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C3" w:rsidRDefault="0045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72F4">
        <w:t>2</w:t>
      </w:r>
      <w:r>
        <w:t>.</w:t>
      </w:r>
      <w:r>
        <w:tab/>
        <w:t>This act takes effect upon approval by the Governor.</w:t>
      </w:r>
    </w:p>
    <w:p w:rsidR="00D641B9" w:rsidRDefault="00F45B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0EE" w:rsidRDefault="009240EE" w:rsidP="009240EE">
      <w:pPr>
        <w:suppressAutoHyphens/>
      </w:pPr>
    </w:p>
    <w:sectPr w:rsidR="009240EE" w:rsidSect="009240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8C3" w:rsidRDefault="004508C3" w:rsidP="009F0C77">
      <w:r>
        <w:separator/>
      </w:r>
    </w:p>
  </w:endnote>
  <w:endnote w:type="continuationSeparator" w:id="0">
    <w:p w:rsidR="004508C3" w:rsidRDefault="00450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62D3D7-04A0-4241-B17C-D371D58E3F17}"/>
    <w:embedBold r:id="rId2" w:fontKey="{5D6EDDA9-3D91-409B-99FA-2F6AB4E8779B}"/>
  </w:font>
  <w:font w:name="Calibri">
    <w:panose1 w:val="020F0502020204030204"/>
    <w:charset w:val="00"/>
    <w:family w:val="swiss"/>
    <w:pitch w:val="variable"/>
    <w:sig w:usb0="E00002FF" w:usb1="4000ACFF" w:usb2="00000001" w:usb3="00000000" w:csb0="0000019F" w:csb1="00000000"/>
    <w:embedRegular r:id="rId3" w:fontKey="{79B852FD-5248-43E6-86FB-85FE13CFAB74}"/>
  </w:font>
  <w:font w:name="Segoe UI">
    <w:panose1 w:val="020B0502040204020203"/>
    <w:charset w:val="00"/>
    <w:family w:val="swiss"/>
    <w:pitch w:val="variable"/>
    <w:sig w:usb0="E10022FF" w:usb1="C000E47F" w:usb2="00000029" w:usb3="00000000" w:csb0="000001DF" w:csb1="00000000"/>
    <w:embedRegular r:id="rId4" w:fontKey="{9F85FF79-0ED9-42DE-9E1F-90BABB63A82C}"/>
  </w:font>
  <w:font w:name="Cambria">
    <w:panose1 w:val="02040503050406030204"/>
    <w:charset w:val="00"/>
    <w:family w:val="roman"/>
    <w:pitch w:val="variable"/>
    <w:sig w:usb0="E00002FF" w:usb1="400004FF" w:usb2="00000000" w:usb3="00000000" w:csb0="0000019F" w:csb1="00000000"/>
    <w:embedRegular r:id="rId5" w:fontKey="{2A7FE420-286E-4E83-B2AC-34A557AD0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1B9" w:rsidRPr="009240EE" w:rsidRDefault="009240EE" w:rsidP="009240E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8C3" w:rsidRDefault="004508C3" w:rsidP="009F0C77">
      <w:r>
        <w:separator/>
      </w:r>
    </w:p>
  </w:footnote>
  <w:footnote w:type="continuationSeparator" w:id="0">
    <w:p w:rsidR="004508C3" w:rsidRDefault="00450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2VR17"/>
    <w:docVar w:name="CoverBillType" w:val="b"/>
    <w:docVar w:name="DocPath" w:val="L:\Council\bills\CC\15032VR17.DOCX"/>
    <w:docVar w:name="dvBillNumber" w:val="3325"/>
    <w:docVar w:name="dvBillNumberPrefix" w:val="H. "/>
    <w:docVar w:name="dvOriginalBody" w:val="House"/>
    <w:docVar w:name="dvSteno" w:val="CC"/>
    <w:docVar w:name="NameofBody" w:val="h"/>
    <w:docVar w:name="vGroup2" w:val="Council"/>
  </w:docVars>
  <w:rsids>
    <w:rsidRoot w:val="004508C3"/>
    <w:rsid w:val="00011869"/>
    <w:rsid w:val="00015CD6"/>
    <w:rsid w:val="000E0100"/>
    <w:rsid w:val="000E1785"/>
    <w:rsid w:val="000F40FA"/>
    <w:rsid w:val="001035F1"/>
    <w:rsid w:val="0010776B"/>
    <w:rsid w:val="00133E66"/>
    <w:rsid w:val="00142C28"/>
    <w:rsid w:val="001435A3"/>
    <w:rsid w:val="00146ED3"/>
    <w:rsid w:val="00151044"/>
    <w:rsid w:val="001D08F2"/>
    <w:rsid w:val="001D3A58"/>
    <w:rsid w:val="001D525B"/>
    <w:rsid w:val="001D7F4F"/>
    <w:rsid w:val="00205238"/>
    <w:rsid w:val="002321B6"/>
    <w:rsid w:val="00250967"/>
    <w:rsid w:val="002543C8"/>
    <w:rsid w:val="0025541D"/>
    <w:rsid w:val="00270FCB"/>
    <w:rsid w:val="00284AAE"/>
    <w:rsid w:val="002E5912"/>
    <w:rsid w:val="00301B21"/>
    <w:rsid w:val="00325348"/>
    <w:rsid w:val="0032732C"/>
    <w:rsid w:val="00336AD0"/>
    <w:rsid w:val="0037079A"/>
    <w:rsid w:val="003C4DAB"/>
    <w:rsid w:val="003D01E8"/>
    <w:rsid w:val="003D1DDD"/>
    <w:rsid w:val="003E5288"/>
    <w:rsid w:val="003F6D79"/>
    <w:rsid w:val="0041760A"/>
    <w:rsid w:val="00417C01"/>
    <w:rsid w:val="004403BD"/>
    <w:rsid w:val="004508C3"/>
    <w:rsid w:val="00461441"/>
    <w:rsid w:val="004809EE"/>
    <w:rsid w:val="004E7D54"/>
    <w:rsid w:val="004F5056"/>
    <w:rsid w:val="005273C6"/>
    <w:rsid w:val="00530A69"/>
    <w:rsid w:val="00545593"/>
    <w:rsid w:val="00556EBF"/>
    <w:rsid w:val="00577C6C"/>
    <w:rsid w:val="005A62FE"/>
    <w:rsid w:val="005C2FE2"/>
    <w:rsid w:val="005E2BC9"/>
    <w:rsid w:val="005F1311"/>
    <w:rsid w:val="00605102"/>
    <w:rsid w:val="006215AA"/>
    <w:rsid w:val="006913C9"/>
    <w:rsid w:val="0069470D"/>
    <w:rsid w:val="006D58AA"/>
    <w:rsid w:val="00734F00"/>
    <w:rsid w:val="00740AD2"/>
    <w:rsid w:val="007A70AE"/>
    <w:rsid w:val="008362E8"/>
    <w:rsid w:val="0085786E"/>
    <w:rsid w:val="008A1768"/>
    <w:rsid w:val="008A489F"/>
    <w:rsid w:val="008F0F33"/>
    <w:rsid w:val="008F4429"/>
    <w:rsid w:val="009240EE"/>
    <w:rsid w:val="0094021A"/>
    <w:rsid w:val="009B44AF"/>
    <w:rsid w:val="009C6A0B"/>
    <w:rsid w:val="009F0C77"/>
    <w:rsid w:val="009F4DD1"/>
    <w:rsid w:val="009F709A"/>
    <w:rsid w:val="00A02543"/>
    <w:rsid w:val="00A41684"/>
    <w:rsid w:val="00A64E80"/>
    <w:rsid w:val="00A72BCD"/>
    <w:rsid w:val="00A741D9"/>
    <w:rsid w:val="00A833AB"/>
    <w:rsid w:val="00A9741D"/>
    <w:rsid w:val="00AC34A2"/>
    <w:rsid w:val="00AD1C9A"/>
    <w:rsid w:val="00AD4B17"/>
    <w:rsid w:val="00B412D4"/>
    <w:rsid w:val="00B86061"/>
    <w:rsid w:val="00BE3C22"/>
    <w:rsid w:val="00C0345E"/>
    <w:rsid w:val="00C31C95"/>
    <w:rsid w:val="00C3483A"/>
    <w:rsid w:val="00C5127E"/>
    <w:rsid w:val="00C74E9D"/>
    <w:rsid w:val="00C826DD"/>
    <w:rsid w:val="00C82FD3"/>
    <w:rsid w:val="00C92819"/>
    <w:rsid w:val="00CC6B7B"/>
    <w:rsid w:val="00CD2089"/>
    <w:rsid w:val="00D641B9"/>
    <w:rsid w:val="00D73A67"/>
    <w:rsid w:val="00D970A9"/>
    <w:rsid w:val="00D97DB2"/>
    <w:rsid w:val="00DF3845"/>
    <w:rsid w:val="00E41911"/>
    <w:rsid w:val="00E44B57"/>
    <w:rsid w:val="00E92EEF"/>
    <w:rsid w:val="00EF2368"/>
    <w:rsid w:val="00EF274D"/>
    <w:rsid w:val="00F21E55"/>
    <w:rsid w:val="00F24442"/>
    <w:rsid w:val="00F45BC4"/>
    <w:rsid w:val="00F50AE3"/>
    <w:rsid w:val="00F655B7"/>
    <w:rsid w:val="00F656BA"/>
    <w:rsid w:val="00F67CF1"/>
    <w:rsid w:val="00F728AA"/>
    <w:rsid w:val="00F772F4"/>
    <w:rsid w:val="00F840F0"/>
    <w:rsid w:val="00FB0D0D"/>
    <w:rsid w:val="00FB43B4"/>
    <w:rsid w:val="00FB6B0B"/>
    <w:rsid w:val="00FC23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3528F-6C18-408C-8815-B18C196A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CA4C1-B393-4D75-8216-6D73425C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517</Words>
  <Characters>2652</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3325 Text of Previous Version (Dec. 15, 2016) - South Carolina Legislature Online</dc:title>
  <dc:creator>%USERNAME%</dc:creator>
  <cp:lastModifiedBy>Angela Hill</cp:lastModifiedBy>
  <cp:revision>2</cp:revision>
  <cp:lastPrinted>2016-12-14T15:56:00Z</cp:lastPrinted>
  <dcterms:created xsi:type="dcterms:W3CDTF">2016-12-16T06:36:00Z</dcterms:created>
  <dcterms:modified xsi:type="dcterms:W3CDTF">2016-12-16T06:36:00Z</dcterms:modified>
</cp:coreProperties>
</file>