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4AE" w:rsidRDefault="00CF54AE" w:rsidP="00305B24">
      <w:pPr>
        <w:tabs>
          <w:tab w:val="right" w:pos="5933"/>
        </w:tabs>
        <w:suppressAutoHyphens/>
      </w:pPr>
      <w:r>
        <w:t>AS PASSED BY THE SENATE</w:t>
      </w:r>
    </w:p>
    <w:p w:rsidR="00CF54AE" w:rsidRDefault="00CF54AE" w:rsidP="00305B24">
      <w:pPr>
        <w:tabs>
          <w:tab w:val="right" w:pos="5933"/>
        </w:tabs>
        <w:suppressAutoHyphens/>
      </w:pPr>
      <w:r>
        <w:t>May 11, 2017</w:t>
      </w:r>
    </w:p>
    <w:p w:rsidR="00CF54AE" w:rsidRDefault="00CF54AE" w:rsidP="00305B24">
      <w:pPr>
        <w:tabs>
          <w:tab w:val="right" w:pos="5933"/>
        </w:tabs>
        <w:suppressAutoHyphens/>
      </w:pPr>
    </w:p>
    <w:p w:rsidR="00305B24" w:rsidRPr="00305B24" w:rsidRDefault="00305B24" w:rsidP="00305B24">
      <w:pPr>
        <w:tabs>
          <w:tab w:val="right" w:pos="5933"/>
        </w:tabs>
        <w:suppressAutoHyphens/>
      </w:pPr>
      <w:r>
        <w:tab/>
      </w:r>
      <w:r>
        <w:rPr>
          <w:b/>
          <w:sz w:val="36"/>
        </w:rPr>
        <w:t>H. 3352</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305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W. Newton, Taylor, Norrell and Erickson</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B24" w:rsidRDefault="00305B24" w:rsidP="00B43DEE">
      <w:pPr>
        <w:tabs>
          <w:tab w:val="right" w:pos="5933"/>
        </w:tabs>
        <w:suppressAutoHyphens/>
      </w:pPr>
      <w:r>
        <w:t>S. Printed 5/</w:t>
      </w:r>
      <w:r w:rsidR="00536E8A">
        <w:t>1</w:t>
      </w:r>
      <w:r w:rsidR="00CF54AE">
        <w:t>1</w:t>
      </w:r>
      <w:r>
        <w:t>/17--S.</w:t>
      </w:r>
      <w:r w:rsidR="00B43DEE">
        <w:tab/>
        <w:t>[SEC 5/11/17 2:03 PM]</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23, 2017.</w:t>
      </w:r>
    </w:p>
    <w:p w:rsidR="00305B24" w:rsidRDefault="00305B24" w:rsidP="00F12D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05B24" w:rsidRDefault="00305B24"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05B24"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3" w:name="titletop"/>
      <w:bookmarkEnd w:id="3"/>
      <w:r w:rsidRPr="002B446E">
        <w:t>TO AMEND THE CODE OF LAWS</w:t>
      </w:r>
      <w:r w:rsidR="00A02633">
        <w:t xml:space="preserve"> OF SOUTH CAROLINA</w:t>
      </w:r>
      <w:r w:rsidRPr="002B446E">
        <w:t>,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w:t>
      </w:r>
      <w:r w:rsidR="00A02633">
        <w:t xml:space="preserve">INING PERSONAL INFORMATION FROM A </w:t>
      </w:r>
      <w:r w:rsidRPr="00A85B42">
        <w:t>STATE AGENCY FOR COMMERCIAL SOLICITATION, SO AS TO EXTEND THE PROHIBITION TO INFORMATION OBTAINED FROM LOCAL GOVERNMENTS AND POLITICAL SUBDIVISIONS OF THE STATE; AND TO PROVIDE THAT THESE MEASURES TAKE EFFECT OCTOBER 1, 2017.</w:t>
      </w:r>
      <w:bookmarkEnd w:id="1"/>
    </w:p>
    <w:p w:rsidR="009327F6"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12D39" w:rsidRDefault="00F12D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E8A"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r>
      <w:r w:rsidR="002F46C6">
        <w:rPr>
          <w:szCs w:val="36"/>
        </w:rPr>
        <w:t>1</w:t>
      </w:r>
      <w:r w:rsidRPr="008335E0">
        <w:rPr>
          <w:szCs w:val="36"/>
        </w:rPr>
        <w:t>.</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w:t>
      </w:r>
      <w:r w:rsidR="002B4E20" w:rsidRPr="00070892">
        <w:rPr>
          <w:szCs w:val="36"/>
          <w:u w:val="single"/>
        </w:rPr>
        <w:t>(1)</w:t>
      </w:r>
      <w:r w:rsidR="002B4E20" w:rsidRPr="00070892">
        <w:rPr>
          <w:szCs w:val="36"/>
        </w:rPr>
        <w:tab/>
        <w:t xml:space="preserve"> </w:t>
      </w:r>
      <w:r w:rsidR="002B4E20" w:rsidRPr="00070892">
        <w:rPr>
          <w:strike/>
          <w:szCs w:val="36"/>
        </w:rPr>
        <w:t>Any</w:t>
      </w:r>
      <w:r w:rsidR="002B4E20" w:rsidRPr="00070892">
        <w:rPr>
          <w:szCs w:val="36"/>
        </w:rPr>
        <w:t xml:space="preserve"> </w:t>
      </w:r>
      <w:r w:rsidR="002B4E20" w:rsidRPr="00070892">
        <w:rPr>
          <w:szCs w:val="36"/>
          <w:u w:val="single"/>
        </w:rPr>
        <w:t>A</w:t>
      </w:r>
      <w:r w:rsidR="002B4E20" w:rsidRPr="00070892">
        <w:rPr>
          <w:szCs w:val="36"/>
        </w:rPr>
        <w:t xml:space="preserve"> person has a right to inspect </w:t>
      </w:r>
      <w:r w:rsidR="002B4E20" w:rsidRPr="00070892">
        <w:rPr>
          <w:strike/>
          <w:szCs w:val="36"/>
        </w:rPr>
        <w:t>or</w:t>
      </w:r>
      <w:r w:rsidR="002B4E20" w:rsidRPr="00070892">
        <w:rPr>
          <w:szCs w:val="36"/>
          <w:u w:val="single"/>
        </w:rPr>
        <w:t>,</w:t>
      </w:r>
      <w:r w:rsidR="002B4E20" w:rsidRPr="00070892">
        <w:rPr>
          <w:szCs w:val="36"/>
        </w:rPr>
        <w:t xml:space="preserve"> copy</w:t>
      </w:r>
      <w:r w:rsidR="002B4E20" w:rsidRPr="00070892">
        <w:rPr>
          <w:szCs w:val="36"/>
          <w:u w:val="single"/>
        </w:rPr>
        <w:t>, or receive an electronic transmission of</w:t>
      </w:r>
      <w:r w:rsidR="002B4E20" w:rsidRPr="00070892">
        <w:rPr>
          <w:szCs w:val="36"/>
        </w:rPr>
        <w:t xml:space="preserve"> any public record of a public body, except as otherwise provided by Section 30</w:t>
      </w:r>
      <w:r w:rsidR="002B4E20" w:rsidRPr="00070892">
        <w:rPr>
          <w:szCs w:val="36"/>
        </w:rPr>
        <w:noBreakHyphen/>
        <w:t>4</w:t>
      </w:r>
      <w:r w:rsidR="002B4E20" w:rsidRPr="00070892">
        <w:rPr>
          <w:szCs w:val="36"/>
        </w:rPr>
        <w:noBreakHyphen/>
        <w:t xml:space="preserve">40, </w:t>
      </w:r>
      <w:r w:rsidR="002B4E20" w:rsidRPr="00070892">
        <w:rPr>
          <w:szCs w:val="36"/>
          <w:u w:val="single"/>
        </w:rPr>
        <w:t>or other state and federal laws,</w:t>
      </w:r>
      <w:r w:rsidR="002B4E20" w:rsidRPr="00070892">
        <w:rPr>
          <w:szCs w:val="36"/>
        </w:rPr>
        <w:t xml:space="preserve"> in accordance with reasonable rules concerning time and place of access.  </w:t>
      </w:r>
      <w:r w:rsidR="002B4E20" w:rsidRPr="00070892">
        <w:rPr>
          <w:szCs w:val="36"/>
          <w:u w:val="single"/>
        </w:rPr>
        <w:t xml:space="preserve">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w:t>
      </w:r>
      <w:r w:rsidR="002B4E20" w:rsidRPr="00070892">
        <w:rPr>
          <w:szCs w:val="36"/>
          <w:u w:val="single"/>
        </w:rPr>
        <w:lastRenderedPageBreak/>
        <w:t>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any 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 xml:space="preserve">five calendar days from the date </w:t>
      </w:r>
      <w:r w:rsidR="00F12D39" w:rsidRPr="008335E0">
        <w:rPr>
          <w:u w:val="single"/>
        </w:rPr>
        <w:t>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12D39">
        <w:rPr>
          <w:u w:val="single"/>
        </w:rPr>
        <w:noBreakHyphen/>
      </w:r>
      <w:r w:rsidR="00F12D39" w:rsidRPr="008335E0">
        <w:rPr>
          <w:u w:val="single"/>
        </w:rPr>
        <w:t>four months old, in which case the public body has no later than thirty</w:t>
      </w:r>
      <w:r w:rsidR="00F12D39">
        <w:rPr>
          <w:u w:val="single"/>
        </w:rPr>
        <w:noBreakHyphen/>
      </w:r>
      <w:r w:rsidR="00F12D39" w:rsidRPr="008335E0">
        <w:rPr>
          <w:u w:val="single"/>
        </w:rPr>
        <w:t>five calendar days from the date on which the deposit was received to fulfill the request</w:t>
      </w:r>
      <w:r w:rsidR="00F12D39">
        <w:rPr>
          <w:u w:val="single"/>
        </w:rPr>
        <w:t>.  The full amount of the total cost must be paid at the time of the production of the request</w:t>
      </w:r>
      <w:r w:rsidR="00F12D39" w:rsidRPr="008335E0">
        <w:t xml:space="preserve">.  If written notification of the determination of the public </w:t>
      </w:r>
      <w:r w:rsidRPr="008335E0">
        <w:t>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 xml:space="preserve">The following records of a public body must be made available for public inspection and copying during the hours of </w:t>
      </w:r>
      <w:r w:rsidRPr="008335E0">
        <w:lastRenderedPageBreak/>
        <w:t>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r>
      <w:r w:rsidR="002F46C6">
        <w:rPr>
          <w:snapToGrid w:val="0"/>
        </w:rPr>
        <w:t>2</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r>
      <w:r w:rsidR="002F46C6">
        <w:rPr>
          <w:snapToGrid w:val="0"/>
        </w:rPr>
        <w:t>3</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 xml:space="preserve">A law enforcement or public </w:t>
      </w:r>
      <w:r w:rsidR="00A02633">
        <w:rPr>
          <w:snapToGrid w:val="0"/>
          <w:u w:val="single"/>
        </w:rPr>
        <w:t>safety agency may apply to the c</w:t>
      </w:r>
      <w:r w:rsidRPr="0055485F">
        <w:rPr>
          <w:snapToGrid w:val="0"/>
          <w:u w:val="single"/>
        </w:rPr>
        <w:t xml:space="preserve">ircuit </w:t>
      </w:r>
      <w:r w:rsidR="00A02633">
        <w:rPr>
          <w:snapToGrid w:val="0"/>
          <w:u w:val="single"/>
        </w:rPr>
        <w:t>c</w:t>
      </w:r>
      <w:r w:rsidRPr="0055485F">
        <w:rPr>
          <w:snapToGrid w:val="0"/>
          <w:u w:val="single"/>
        </w:rPr>
        <w:t>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 xml:space="preserve">A court order to withhold the release of recording data under this section must specify a definite time period for the </w:t>
      </w:r>
      <w:r w:rsidRPr="0055485F">
        <w:rPr>
          <w:snapToGrid w:val="0"/>
          <w:u w:val="single"/>
        </w:rPr>
        <w:lastRenderedPageBreak/>
        <w:t>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2F46C6">
        <w:t>4</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D77BA8">
        <w:t>“Section 30</w:t>
      </w:r>
      <w:r w:rsidRPr="00D77BA8">
        <w:noBreakHyphen/>
        <w:t>4</w:t>
      </w:r>
      <w:r w:rsidRPr="00D77BA8">
        <w:noBreakHyphen/>
        <w:t>100.</w:t>
      </w:r>
      <w:r w:rsidRPr="00D77BA8">
        <w:tab/>
      </w:r>
      <w:r w:rsidRPr="00D77BA8">
        <w:rPr>
          <w:strike/>
        </w:rPr>
        <w:t>(a)</w:t>
      </w:r>
      <w:r w:rsidRPr="00D77BA8">
        <w:rPr>
          <w:u w:val="single"/>
        </w:rPr>
        <w:t>(A)</w:t>
      </w:r>
      <w:r w:rsidRPr="00D77BA8">
        <w:tab/>
      </w:r>
      <w:r w:rsidRPr="00D77BA8">
        <w:rPr>
          <w:strike/>
        </w:rPr>
        <w:t>Any</w:t>
      </w:r>
      <w:r w:rsidRPr="00D77BA8">
        <w:t xml:space="preserve"> </w:t>
      </w:r>
      <w:r w:rsidRPr="00D77BA8">
        <w:rPr>
          <w:u w:val="single"/>
        </w:rPr>
        <w:t>A</w:t>
      </w:r>
      <w:r w:rsidRPr="00D77BA8">
        <w:t xml:space="preserve"> citizen of the State may apply to the circuit court for </w:t>
      </w:r>
      <w:r w:rsidRPr="00D77BA8">
        <w:rPr>
          <w:strike/>
        </w:rPr>
        <w:t>either or both</w:t>
      </w:r>
      <w:r w:rsidRPr="00D77BA8">
        <w:t xml:space="preserve"> a declaratory judgment </w:t>
      </w:r>
      <w:r w:rsidRPr="00D77BA8">
        <w:rPr>
          <w:strike/>
        </w:rPr>
        <w:t>and</w:t>
      </w:r>
      <w:r w:rsidRPr="00D77BA8">
        <w:rPr>
          <w:u w:val="single"/>
        </w:rPr>
        <w:t>,</w:t>
      </w:r>
      <w:r w:rsidRPr="00D77BA8">
        <w:t xml:space="preserve"> injunctive relief</w:t>
      </w:r>
      <w:r w:rsidRPr="00D77BA8">
        <w:rPr>
          <w:u w:val="single"/>
        </w:rPr>
        <w:t>, or both,</w:t>
      </w:r>
      <w:r w:rsidRPr="00D77BA8">
        <w:t xml:space="preserve"> to enforce the provisions of this chapter in appropriate cases </w:t>
      </w:r>
      <w:r w:rsidRPr="00D77BA8">
        <w:rPr>
          <w:strike/>
        </w:rPr>
        <w:t>as long as such</w:t>
      </w:r>
      <w:r w:rsidRPr="00D77BA8">
        <w:t xml:space="preserve"> </w:t>
      </w:r>
      <w:r w:rsidRPr="00D77BA8">
        <w:rPr>
          <w:u w:val="single"/>
        </w:rPr>
        <w:t>if the</w:t>
      </w:r>
      <w:r w:rsidRPr="00D77BA8">
        <w:t xml:space="preserve"> application is made no later than one year </w:t>
      </w:r>
      <w:r w:rsidRPr="00D77BA8">
        <w:rPr>
          <w:strike/>
        </w:rPr>
        <w:t>following</w:t>
      </w:r>
      <w:r w:rsidRPr="00D77BA8">
        <w:t xml:space="preserve"> </w:t>
      </w:r>
      <w:r w:rsidRPr="00D77BA8">
        <w:rPr>
          <w:u w:val="single"/>
        </w:rPr>
        <w:t>after</w:t>
      </w:r>
      <w:r w:rsidRPr="00D77BA8">
        <w:t xml:space="preserve"> the date </w:t>
      </w:r>
      <w:r w:rsidRPr="00D77BA8">
        <w:rPr>
          <w:strike/>
        </w:rPr>
        <w:t>on which the</w:t>
      </w:r>
      <w:r w:rsidRPr="00D77BA8">
        <w:t xml:space="preserve"> </w:t>
      </w:r>
      <w:r w:rsidRPr="00D77BA8">
        <w:rPr>
          <w:u w:val="single"/>
        </w:rPr>
        <w:t>of the</w:t>
      </w:r>
      <w:r w:rsidRPr="00D77BA8">
        <w:t xml:space="preserve"> alleged violation </w:t>
      </w:r>
      <w:r w:rsidRPr="00D77BA8">
        <w:rPr>
          <w:strike/>
        </w:rPr>
        <w:t>occurs</w:t>
      </w:r>
      <w:r w:rsidRPr="00D77BA8">
        <w:t xml:space="preserve"> or one year after a public vote in public session, whichever comes later.  </w:t>
      </w:r>
      <w:r w:rsidRPr="007A3886">
        <w:rPr>
          <w:u w:val="single"/>
        </w:rPr>
        <w:t>Upon</w:t>
      </w:r>
      <w:r>
        <w:rPr>
          <w:u w:val="single"/>
        </w:rPr>
        <w:t xml:space="preserve"> the filing of the request for declaratory judgment or injunctive relief related to provisions of</w:t>
      </w:r>
      <w:r w:rsidRPr="00C578C0">
        <w:rPr>
          <w:u w:val="single"/>
        </w:rPr>
        <w:t xml:space="preserve"> this chapter</w:t>
      </w:r>
      <w:r>
        <w:rPr>
          <w:u w:val="single"/>
        </w:rPr>
        <w:t>,</w:t>
      </w:r>
      <w:r w:rsidRPr="007A3886">
        <w:rPr>
          <w:u w:val="single"/>
        </w:rPr>
        <w:t xml:space="preserve"> </w:t>
      </w:r>
      <w:r>
        <w:rPr>
          <w:u w:val="single"/>
        </w:rPr>
        <w:t>t</w:t>
      </w:r>
      <w:r w:rsidRPr="008E2B60">
        <w:rPr>
          <w:u w:val="single"/>
        </w:rPr>
        <w:t xml:space="preserve">he </w:t>
      </w:r>
      <w:r>
        <w:rPr>
          <w:u w:val="single"/>
        </w:rPr>
        <w:t xml:space="preserve">chief administrative judge of the circuit </w:t>
      </w:r>
      <w:r w:rsidRPr="008E2B60">
        <w:rPr>
          <w:u w:val="single"/>
        </w:rPr>
        <w:t xml:space="preserve">court must </w:t>
      </w:r>
      <w:r>
        <w:rPr>
          <w:u w:val="single"/>
        </w:rPr>
        <w:t>schedule</w:t>
      </w:r>
      <w:r w:rsidRPr="008E2B60">
        <w:rPr>
          <w:u w:val="single"/>
        </w:rPr>
        <w:t xml:space="preserve"> a</w:t>
      </w:r>
      <w:r>
        <w:rPr>
          <w:u w:val="single"/>
        </w:rPr>
        <w:t>n initial</w:t>
      </w:r>
      <w:r w:rsidRPr="008E2B60">
        <w:rPr>
          <w:u w:val="single"/>
        </w:rPr>
        <w:t xml:space="preserve"> hearing</w:t>
      </w:r>
      <w:r w:rsidRPr="00C578C0">
        <w:rPr>
          <w:u w:val="single"/>
        </w:rPr>
        <w:t xml:space="preserve"> within ten day</w:t>
      </w:r>
      <w:r>
        <w:rPr>
          <w:u w:val="single"/>
        </w:rPr>
        <w:t>s of the service on all parties</w:t>
      </w:r>
      <w:r w:rsidRPr="00C578C0">
        <w:rPr>
          <w:u w:val="single"/>
        </w:rPr>
        <w:t>.</w:t>
      </w:r>
      <w:r>
        <w:rPr>
          <w:u w:val="single"/>
        </w:rPr>
        <w:t xml:space="preserve">  If the hearing court is unable to make a final ruling at the initial hearing, the court shall establish a scheduling order to conclude actions brought pursuant to this chapter within six months of initial filing.  The court may extend this time period upon a showing of good cause.</w:t>
      </w:r>
      <w:r>
        <w:t xml:space="preserve">  </w:t>
      </w:r>
      <w:r w:rsidRPr="00D77BA8">
        <w:t>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5B4F">
        <w:lastRenderedPageBreak/>
        <w:t>SECTION</w:t>
      </w:r>
      <w:r w:rsidRPr="00F85B4F">
        <w:tab/>
      </w:r>
      <w:r w:rsidR="002F46C6">
        <w:t>5</w:t>
      </w:r>
      <w:r w:rsidRPr="00F85B4F">
        <w:t>.</w:t>
      </w:r>
      <w:r w:rsidRPr="00F85B4F">
        <w:tab/>
        <w:t>Section 30</w:t>
      </w:r>
      <w:r w:rsidRPr="00F85B4F">
        <w:noBreakHyphen/>
        <w:t>4</w:t>
      </w:r>
      <w:r w:rsidRPr="00F85B4F">
        <w:noBreakHyphen/>
        <w:t>110 of the 1976 Code is amended to read:</w:t>
      </w:r>
    </w:p>
    <w:p w:rsidR="00536E8A"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85B4F">
        <w:tab/>
        <w:t>“Section 30</w:t>
      </w:r>
      <w:r w:rsidRPr="00F85B4F">
        <w:noBreakHyphen/>
        <w:t>4</w:t>
      </w:r>
      <w:r w:rsidRPr="00F85B4F">
        <w:noBreakHyphen/>
        <w:t>110.</w:t>
      </w:r>
      <w:r w:rsidRPr="00F85B4F">
        <w:tab/>
      </w:r>
      <w:r w:rsidRPr="00F85B4F">
        <w:rPr>
          <w:strike/>
        </w:rPr>
        <w:t>Any person or group of persons who willfully violates the provisions of this chapter shall be deemed guilty of a misdemeanor and, upon conviction shall be fined not more than one 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F85B4F">
        <w:rPr>
          <w:szCs w:val="24"/>
        </w:rPr>
        <w:tab/>
      </w:r>
      <w:r w:rsidRPr="00F85B4F">
        <w:rPr>
          <w:szCs w:val="24"/>
          <w:u w:val="single"/>
        </w:rPr>
        <w:t>(A)</w:t>
      </w:r>
      <w:r w:rsidRPr="00F85B4F">
        <w:rPr>
          <w:szCs w:val="24"/>
        </w:rPr>
        <w:tab/>
      </w:r>
      <w:r w:rsidRPr="00F85B4F">
        <w:rPr>
          <w:szCs w:val="24"/>
          <w:u w:val="single"/>
        </w:rPr>
        <w:t xml:space="preserve">A public body may file a request for hearing with the </w:t>
      </w:r>
      <w:r>
        <w:rPr>
          <w:szCs w:val="24"/>
          <w:u w:val="single"/>
        </w:rPr>
        <w:t>Circuit Court</w:t>
      </w:r>
      <w:r w:rsidRPr="00F85B4F">
        <w:rPr>
          <w:szCs w:val="24"/>
          <w:u w:val="single"/>
        </w:rPr>
        <w:t xml:space="preserve"> to seek relief from unduly burdensome, overly broad, vague, repetitive, or otherwise improper requests, or where it has received a request but it is unable to make a good faith determination as to whether the information is exempt from disclosure.</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F85B4F">
        <w:rPr>
          <w:i/>
          <w:szCs w:val="24"/>
        </w:rPr>
        <w:tab/>
      </w:r>
      <w:r>
        <w:rPr>
          <w:szCs w:val="24"/>
          <w:u w:val="single"/>
        </w:rPr>
        <w:t>(B</w:t>
      </w:r>
      <w:r w:rsidRPr="00F85B4F">
        <w:rPr>
          <w:szCs w:val="24"/>
          <w:u w:val="single"/>
        </w:rPr>
        <w:t>)</w:t>
      </w:r>
      <w:r w:rsidRPr="00F85B4F">
        <w:rPr>
          <w:szCs w:val="24"/>
        </w:rPr>
        <w:tab/>
      </w:r>
      <w:r w:rsidRPr="00F85B4F">
        <w:rPr>
          <w:szCs w:val="24"/>
          <w:u w:val="single"/>
        </w:rPr>
        <w:t>If a request for disclosure may result in the release of records or information exempt from disclosure under Section 30</w:t>
      </w:r>
      <w:r w:rsidRPr="00F85B4F">
        <w:rPr>
          <w:szCs w:val="24"/>
          <w:u w:val="single"/>
        </w:rPr>
        <w:noBreakHyphen/>
        <w:t>4</w:t>
      </w:r>
      <w:r w:rsidRPr="00F85B4F">
        <w:rPr>
          <w:szCs w:val="24"/>
          <w:u w:val="single"/>
        </w:rPr>
        <w:noBreakHyphen/>
        <w:t xml:space="preserve">40(a)(1), (2), (4), (5), (9), (14), (15), or (19), a person or entity with a specific interest in the underlying records or information shall have the right to request a hearing </w:t>
      </w:r>
      <w:r>
        <w:rPr>
          <w:szCs w:val="24"/>
          <w:u w:val="single"/>
        </w:rPr>
        <w:t>with the court</w:t>
      </w:r>
      <w:r w:rsidRPr="00F85B4F">
        <w:rPr>
          <w:szCs w:val="24"/>
          <w:u w:val="single"/>
        </w:rPr>
        <w:t xml:space="preserve"> or to intervene in an action previously filed.</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rPr>
          <w:szCs w:val="24"/>
        </w:rPr>
        <w:tab/>
      </w:r>
      <w:r>
        <w:rPr>
          <w:u w:val="single"/>
        </w:rPr>
        <w:t>(C</w:t>
      </w:r>
      <w:r w:rsidRPr="00F85B4F">
        <w:rPr>
          <w:u w:val="single"/>
        </w:rPr>
        <w:t>)</w:t>
      </w:r>
      <w:r w:rsidRPr="00F85B4F">
        <w:tab/>
      </w:r>
      <w:r w:rsidRPr="00F85B4F">
        <w:rPr>
          <w:u w:val="single"/>
        </w:rPr>
        <w:t xml:space="preserve">If a person or entity seeking relief under this section prevails, the </w:t>
      </w:r>
      <w:r>
        <w:rPr>
          <w:u w:val="single"/>
        </w:rPr>
        <w:t>court</w:t>
      </w:r>
      <w:r w:rsidRPr="00F85B4F">
        <w:rPr>
          <w:u w:val="single"/>
        </w:rPr>
        <w:t xml:space="preserve"> may order:</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(1)</w:t>
      </w:r>
      <w:r w:rsidRPr="00F85B4F">
        <w:tab/>
      </w:r>
      <w:r w:rsidRPr="00F85B4F">
        <w:rPr>
          <w:u w:val="single"/>
        </w:rPr>
        <w:t xml:space="preserve">equitable relief as he considers appropriate, </w:t>
      </w:r>
    </w:p>
    <w:p w:rsidR="00536E8A" w:rsidRPr="00F85B4F" w:rsidRDefault="00536E8A" w:rsidP="00536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85B4F">
        <w:tab/>
      </w:r>
      <w:r w:rsidRPr="00F85B4F">
        <w:tab/>
      </w:r>
      <w:r w:rsidRPr="00F85B4F">
        <w:rPr>
          <w:u w:val="single"/>
        </w:rPr>
        <w:t>(2)</w:t>
      </w:r>
      <w:r w:rsidRPr="00F85B4F">
        <w:tab/>
      </w:r>
      <w:r w:rsidRPr="00F85B4F">
        <w:rPr>
          <w:u w:val="single"/>
        </w:rPr>
        <w:t>actual or compensatory damages, or</w:t>
      </w:r>
    </w:p>
    <w:p w:rsidR="00CF54AE"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snapToGrid w:val="0"/>
        </w:rPr>
        <w:tab/>
      </w:r>
      <w:r>
        <w:tab/>
      </w:r>
      <w:r w:rsidRPr="00CB11DD">
        <w:rPr>
          <w:u w:val="single"/>
        </w:rPr>
        <w:t>(3)</w:t>
      </w:r>
      <w:r w:rsidRPr="00CB11DD">
        <w:tab/>
      </w:r>
      <w:r w:rsidRPr="00CB11DD">
        <w:rPr>
          <w:u w:val="single"/>
        </w:rPr>
        <w:t xml:space="preserve">reasonable attorney’s fees and other costs of litigation specific to the request, unless </w:t>
      </w:r>
      <w:r>
        <w:rPr>
          <w:u w:val="single"/>
        </w:rPr>
        <w:t>there is a finding of good faith</w:t>
      </w:r>
      <w:r w:rsidRPr="00CB11DD">
        <w:rPr>
          <w:u w:val="single"/>
        </w:rPr>
        <w:t>.</w:t>
      </w:r>
      <w:r>
        <w:rPr>
          <w:u w:val="single"/>
        </w:rPr>
        <w:t xml:space="preserve">  The finding of good faith is a bar to the award of attorney’s fees and costs.</w:t>
      </w:r>
    </w:p>
    <w:p w:rsidR="00CF54AE"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D73">
        <w:tab/>
      </w:r>
      <w:r>
        <w:rPr>
          <w:u w:val="single"/>
        </w:rPr>
        <w:t>(D)</w:t>
      </w:r>
      <w:r w:rsidRPr="00504D73">
        <w:tab/>
      </w:r>
      <w:r w:rsidRPr="00260575">
        <w:rPr>
          <w:u w:val="single"/>
        </w:rPr>
        <w:t>If a</w:t>
      </w:r>
      <w:r w:rsidR="00AD05EB">
        <w:rPr>
          <w:u w:val="single"/>
        </w:rPr>
        <w:t xml:space="preserve"> court</w:t>
      </w:r>
      <w:r w:rsidRPr="00260575">
        <w:rPr>
          <w:u w:val="single"/>
        </w:rPr>
        <w:t xml:space="preserve"> determines that records are not subject to disclosure, the determination constitutes a finding of good faith on the part of the public body or public official, and acts as a complete bar against the award of attorney's fees or other costs to the prevailing party should the </w:t>
      </w:r>
      <w:r w:rsidR="00AD05EB">
        <w:rPr>
          <w:u w:val="single"/>
        </w:rPr>
        <w:t>court</w:t>
      </w:r>
      <w:r w:rsidRPr="00260575">
        <w:rPr>
          <w:u w:val="single"/>
        </w:rPr>
        <w:t>'s determination be reversed on appeal.</w:t>
      </w:r>
    </w:p>
    <w:p w:rsidR="00CF54AE" w:rsidRPr="00504D73"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4D73">
        <w:tab/>
      </w:r>
      <w:r>
        <w:rPr>
          <w:u w:val="single"/>
        </w:rPr>
        <w:t>(E)</w:t>
      </w:r>
      <w:r w:rsidRPr="00260575">
        <w:tab/>
      </w:r>
      <w:r w:rsidRPr="00504D73">
        <w:rPr>
          <w:u w:val="single"/>
        </w:rPr>
        <w:t>If the person or entity prevails in part, he may be awarded reasonable attorney’s fees or other costs of litigation specific to the request, or an appropriate portion thereof, unless otherwise barred.</w:t>
      </w:r>
    </w:p>
    <w:p w:rsidR="009F44F7" w:rsidRDefault="00CF54AE" w:rsidP="00CF5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4D73">
        <w:tab/>
      </w:r>
      <w:r w:rsidRPr="00504D73">
        <w:rPr>
          <w:u w:val="single"/>
        </w:rPr>
        <w:t>(</w:t>
      </w:r>
      <w:r>
        <w:rPr>
          <w:u w:val="single"/>
        </w:rPr>
        <w:t>F</w:t>
      </w:r>
      <w:r w:rsidRPr="00504D73">
        <w:rPr>
          <w:u w:val="single"/>
        </w:rPr>
        <w:t>)</w:t>
      </w:r>
      <w:r w:rsidRPr="00504D73">
        <w:tab/>
      </w:r>
      <w:r w:rsidRPr="00504D73">
        <w:rPr>
          <w:u w:val="single"/>
        </w:rPr>
        <w:t xml:space="preserve">If the court finds that the public body has arbitrarily and </w:t>
      </w:r>
      <w:r w:rsidR="00536E8A" w:rsidRPr="00F85B4F">
        <w:rPr>
          <w:u w:val="single"/>
        </w:rPr>
        <w:t xml:space="preserve">capriciously violated the provisions of this chapter by refusal or delay in disclosing or providing copies of a public record, it may, in </w:t>
      </w:r>
      <w:r w:rsidR="00536E8A" w:rsidRPr="00F85B4F">
        <w:rPr>
          <w:u w:val="single"/>
        </w:rPr>
        <w:lastRenderedPageBreak/>
        <w:t>addition to actual or compensatory damages or equitable relief, impose a civil fine of five hundred dollars.</w:t>
      </w:r>
      <w:r w:rsidR="00536E8A" w:rsidRPr="00F85B4F">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r>
      <w:r w:rsidR="002F46C6">
        <w:t>6</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r>
      <w:r w:rsidR="002F46C6">
        <w:t>7</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536E8A"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r>
      <w:r w:rsidR="002F46C6">
        <w:rPr>
          <w:snapToGrid w:val="0"/>
        </w:rPr>
        <w:t>8</w:t>
      </w:r>
      <w:r>
        <w:rPr>
          <w:snapToGrid w:val="0"/>
        </w:rPr>
        <w:t>.</w:t>
      </w:r>
      <w:r>
        <w:rPr>
          <w:snapToGrid w:val="0"/>
        </w:rPr>
        <w:tab/>
        <w:t>This act takes effect upon approval by the Governor.</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71E" w:rsidRDefault="005A071E" w:rsidP="005A071E">
      <w:pPr>
        <w:suppressAutoHyphens/>
      </w:pPr>
    </w:p>
    <w:sectPr w:rsidR="005A071E"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E04C40A-9915-4FCC-987F-4D0EBD46902C}"/>
    <w:embedBold r:id="rId2" w:fontKey="{05B0130D-13C2-47C6-B2A0-95C57D926670}"/>
    <w:embedItalic r:id="rId3" w:fontKey="{CDB86DB4-EC5B-4A0A-8FD5-B77D872CB63C}"/>
  </w:font>
  <w:font w:name="Calibri">
    <w:panose1 w:val="020F0502020204030204"/>
    <w:charset w:val="00"/>
    <w:family w:val="swiss"/>
    <w:pitch w:val="variable"/>
    <w:sig w:usb0="E00002FF" w:usb1="4000ACFF" w:usb2="00000001" w:usb3="00000000" w:csb0="0000019F" w:csb1="00000000"/>
    <w:embedRegular r:id="rId4" w:fontKey="{9CA16FCF-B0F7-4A1F-A6E4-332E8A0228E1}"/>
  </w:font>
  <w:font w:name="Segoe UI">
    <w:panose1 w:val="020B0502040204020203"/>
    <w:charset w:val="00"/>
    <w:family w:val="swiss"/>
    <w:pitch w:val="variable"/>
    <w:sig w:usb0="E10022FF" w:usb1="C000E47F" w:usb2="00000029" w:usb3="00000000" w:csb0="000001DF" w:csb1="00000000"/>
    <w:embedRegular r:id="rId5" w:fontKey="{9D41825F-3DA4-4052-B96A-6315E911BDB3}"/>
  </w:font>
  <w:font w:name="Cambria">
    <w:panose1 w:val="02040503050406030204"/>
    <w:charset w:val="00"/>
    <w:family w:val="roman"/>
    <w:pitch w:val="variable"/>
    <w:sig w:usb0="E00002FF" w:usb1="400004FF" w:usb2="00000000" w:usb3="00000000" w:csb0="0000019F" w:csb1="00000000"/>
    <w:embedRegular r:id="rId6" w:fontKey="{B6582487-9F0F-48F9-80C2-58A28CA229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5A071E">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5A071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942F4"/>
    <w:rsid w:val="002B39F4"/>
    <w:rsid w:val="002B4E20"/>
    <w:rsid w:val="002E5912"/>
    <w:rsid w:val="002F46C6"/>
    <w:rsid w:val="00301B21"/>
    <w:rsid w:val="00305B24"/>
    <w:rsid w:val="00325348"/>
    <w:rsid w:val="0032732C"/>
    <w:rsid w:val="00336AD0"/>
    <w:rsid w:val="0037079A"/>
    <w:rsid w:val="003B5CFF"/>
    <w:rsid w:val="003C4DAB"/>
    <w:rsid w:val="003D01E8"/>
    <w:rsid w:val="003E5288"/>
    <w:rsid w:val="003F6D79"/>
    <w:rsid w:val="0041384D"/>
    <w:rsid w:val="0041760A"/>
    <w:rsid w:val="00417C01"/>
    <w:rsid w:val="004403BD"/>
    <w:rsid w:val="00461441"/>
    <w:rsid w:val="004809EE"/>
    <w:rsid w:val="004E7D54"/>
    <w:rsid w:val="005273C6"/>
    <w:rsid w:val="00530A69"/>
    <w:rsid w:val="00536E8A"/>
    <w:rsid w:val="00545593"/>
    <w:rsid w:val="00556EBF"/>
    <w:rsid w:val="00577C6C"/>
    <w:rsid w:val="005A071E"/>
    <w:rsid w:val="005A62FE"/>
    <w:rsid w:val="005C2FE2"/>
    <w:rsid w:val="005E2BC9"/>
    <w:rsid w:val="00605102"/>
    <w:rsid w:val="006215AA"/>
    <w:rsid w:val="006913C9"/>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327F6"/>
    <w:rsid w:val="0094021A"/>
    <w:rsid w:val="009B44AF"/>
    <w:rsid w:val="009C6A0B"/>
    <w:rsid w:val="009F0C77"/>
    <w:rsid w:val="009F44F7"/>
    <w:rsid w:val="009F4DD1"/>
    <w:rsid w:val="00A02543"/>
    <w:rsid w:val="00A02633"/>
    <w:rsid w:val="00A20021"/>
    <w:rsid w:val="00A24037"/>
    <w:rsid w:val="00A41684"/>
    <w:rsid w:val="00A64E80"/>
    <w:rsid w:val="00A72BCD"/>
    <w:rsid w:val="00A741D9"/>
    <w:rsid w:val="00A833AB"/>
    <w:rsid w:val="00A9741D"/>
    <w:rsid w:val="00AC34A2"/>
    <w:rsid w:val="00AD05EB"/>
    <w:rsid w:val="00AD1C9A"/>
    <w:rsid w:val="00AD4B17"/>
    <w:rsid w:val="00B151C9"/>
    <w:rsid w:val="00B2523F"/>
    <w:rsid w:val="00B412D4"/>
    <w:rsid w:val="00B43DEE"/>
    <w:rsid w:val="00BE3C22"/>
    <w:rsid w:val="00C0345E"/>
    <w:rsid w:val="00C31C95"/>
    <w:rsid w:val="00C3483A"/>
    <w:rsid w:val="00C74E9D"/>
    <w:rsid w:val="00C826DD"/>
    <w:rsid w:val="00C82FD3"/>
    <w:rsid w:val="00C92819"/>
    <w:rsid w:val="00CC6B7B"/>
    <w:rsid w:val="00CD2089"/>
    <w:rsid w:val="00CE7CDC"/>
    <w:rsid w:val="00CF54AE"/>
    <w:rsid w:val="00D73A67"/>
    <w:rsid w:val="00D970A9"/>
    <w:rsid w:val="00DB165B"/>
    <w:rsid w:val="00DF3845"/>
    <w:rsid w:val="00E12A48"/>
    <w:rsid w:val="00E41911"/>
    <w:rsid w:val="00E44B57"/>
    <w:rsid w:val="00E92EEF"/>
    <w:rsid w:val="00EF2368"/>
    <w:rsid w:val="00F12D39"/>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C2100-C41B-4F9B-93D4-C1765567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81404C4C.dotm</Template>
  <TotalTime>0</TotalTime>
  <Pages>11</Pages>
  <Words>3726</Words>
  <Characters>19297</Characters>
  <Application>Microsoft Office Word</Application>
  <DocSecurity>0</DocSecurity>
  <Lines>450</Lines>
  <Paragraphs>78</Paragraphs>
  <ScaleCrop>false</ScaleCrop>
  <HeadingPairs>
    <vt:vector size="2" baseType="variant">
      <vt:variant>
        <vt:lpstr>Title</vt:lpstr>
      </vt:variant>
      <vt:variant>
        <vt:i4>1</vt:i4>
      </vt:variant>
    </vt:vector>
  </HeadingPairs>
  <TitlesOfParts>
    <vt:vector size="1" baseType="lpstr">
      <vt:lpstr>2017-2018 Bill 3352: Subject not yet available - South Carolina Legislature Online</vt:lpstr>
    </vt:vector>
  </TitlesOfParts>
  <Company>LPITS</Company>
  <LinksUpToDate>false</LinksUpToDate>
  <CharactersWithSpaces>23100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(May 11, 2017) - South Carolina Legislature Online</dc:title>
  <dc:creator>angiemorgan</dc:creator>
  <cp:lastModifiedBy>Angela Hill</cp:lastModifiedBy>
  <cp:revision>2</cp:revision>
  <cp:lastPrinted>2017-05-10T18:19:00Z</cp:lastPrinted>
  <dcterms:created xsi:type="dcterms:W3CDTF">2017-05-11T18:08:00Z</dcterms:created>
  <dcterms:modified xsi:type="dcterms:W3CDTF">2017-05-11T18:08:00Z</dcterms:modified>
</cp:coreProperties>
</file>