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1CE"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DA" w:rsidRPr="009E7EDA" w:rsidRDefault="009E7EDA" w:rsidP="009E7EDA">
      <w:pPr>
        <w:tabs>
          <w:tab w:val="right" w:pos="5933"/>
        </w:tabs>
        <w:suppressAutoHyphens/>
      </w:pPr>
      <w:r>
        <w:tab/>
      </w:r>
      <w:r>
        <w:rPr>
          <w:b/>
          <w:sz w:val="36"/>
        </w:rPr>
        <w:t>H. 3488</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DA" w:rsidRDefault="009E7EDA" w:rsidP="009E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452">
        <w:t>Reps. Sandifer and Hixon</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2017.</w:t>
      </w:r>
    </w:p>
    <w:p w:rsidR="009E7EDA" w:rsidRPr="009E7EDA" w:rsidRDefault="009E7EDA" w:rsidP="009E7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7EDA"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DA" w:rsidRPr="00D031CE" w:rsidRDefault="009E7EDA" w:rsidP="0006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CE" w:rsidRDefault="00D031CE"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1CE" w:rsidSect="00D0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8AD">
        <w:rPr>
          <w:color w:val="000000" w:themeColor="text1"/>
          <w:u w:color="000000" w:themeColor="text1"/>
        </w:rPr>
        <w:t>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OR DOCUMENTS, TO ALLOW FOR A PARTY TO ELECTRONICALLY SIGN ELECTRONICALLY DELIVERED DOCUMENTS, TO PROTECT A PRODUCER FROM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 xml:space="preserve">S ELECTION TO RECEIVE A NOTICE OR DOCUMENT BY ELECTRONIC MEANS, AND TO AUTHORIZE THE DIRECTOR TO PROMULGATE REGULATIONS TO IMPLEMENT THE PROVISIONS OF THIS SECTION. </w:t>
      </w:r>
      <w:bookmarkEnd w:id="1"/>
    </w:p>
    <w:p w:rsidR="0010776B" w:rsidRDefault="009E7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7EDA" w:rsidRDefault="009E7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AF0" w:rsidRDefault="0061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Chapter 55, Title 38 of the 1976 Code is amended by adding: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78AD">
        <w:rPr>
          <w:color w:val="000000" w:themeColor="text1"/>
          <w:u w:color="000000" w:themeColor="text1"/>
        </w:rPr>
        <w:t>Article 7</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78AD">
        <w:rPr>
          <w:color w:val="000000" w:themeColor="text1"/>
          <w:u w:color="000000" w:themeColor="text1"/>
        </w:rPr>
        <w:t>Electronic Documents</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710.</w:t>
      </w:r>
      <w:r>
        <w:rPr>
          <w:color w:val="000000" w:themeColor="text1"/>
          <w:u w:color="000000" w:themeColor="text1"/>
        </w:rPr>
        <w:tab/>
      </w:r>
      <w:r w:rsidRPr="001B78AD">
        <w:rPr>
          <w:color w:val="000000" w:themeColor="text1"/>
          <w:u w:color="000000" w:themeColor="text1"/>
        </w:rPr>
        <w:t xml:space="preserve">As used in this article: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Delivered by electronic means</w:t>
      </w:r>
      <w:r w:rsidRPr="00B26E4F">
        <w:rPr>
          <w:color w:val="000000" w:themeColor="text1"/>
          <w:u w:color="000000" w:themeColor="text1"/>
        </w:rPr>
        <w:t>’</w:t>
      </w:r>
      <w:r w:rsidRPr="001B78AD">
        <w:rPr>
          <w:color w:val="000000" w:themeColor="text1"/>
          <w:u w:color="000000" w:themeColor="text1"/>
        </w:rPr>
        <w:t xml:space="preserve"> includes: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ab/>
        <w:t>(a)</w:t>
      </w:r>
      <w:r>
        <w:rPr>
          <w:color w:val="000000" w:themeColor="text1"/>
          <w:u w:color="000000" w:themeColor="text1"/>
        </w:rPr>
        <w:tab/>
      </w:r>
      <w:r w:rsidRPr="001B78AD">
        <w:rPr>
          <w:color w:val="000000" w:themeColor="text1"/>
          <w:u w:color="000000" w:themeColor="text1"/>
        </w:rPr>
        <w:t xml:space="preserve">delivery to an electronic mail address at which a party has consented to receive notices or documents; or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8AD">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B26E4F">
        <w:rPr>
          <w:color w:val="000000" w:themeColor="text1"/>
          <w:u w:color="000000" w:themeColor="text1"/>
        </w:rPr>
        <w:t>‘</w:t>
      </w:r>
      <w:r w:rsidRPr="001B78AD">
        <w:rPr>
          <w:color w:val="000000" w:themeColor="text1"/>
          <w:u w:color="000000" w:themeColor="text1"/>
        </w:rPr>
        <w:t>Party</w:t>
      </w:r>
      <w:r w:rsidRPr="00B26E4F">
        <w:rPr>
          <w:color w:val="000000" w:themeColor="text1"/>
          <w:u w:color="000000" w:themeColor="text1"/>
        </w:rPr>
        <w:t>’</w:t>
      </w:r>
      <w:r w:rsidRPr="001B78AD">
        <w:rPr>
          <w:color w:val="000000" w:themeColor="text1"/>
          <w:u w:color="000000" w:themeColor="text1"/>
        </w:rPr>
        <w:t xml:space="preserve"> means a recipient of a notice or document required as part of an insurance transaction including, but not limited to, an applicant, an insured, a policyholder, or an annuity contract holder.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Section 38</w:t>
      </w:r>
      <w:r>
        <w:rPr>
          <w:color w:val="000000" w:themeColor="text1"/>
          <w:u w:color="000000" w:themeColor="text1"/>
        </w:rPr>
        <w:noBreakHyphen/>
      </w:r>
      <w:r w:rsidRPr="001B78AD">
        <w:rPr>
          <w:color w:val="000000" w:themeColor="text1"/>
          <w:u w:color="000000" w:themeColor="text1"/>
        </w:rPr>
        <w:t>55</w:t>
      </w:r>
      <w:r>
        <w:rPr>
          <w:color w:val="000000" w:themeColor="text1"/>
          <w:u w:color="000000" w:themeColor="text1"/>
        </w:rPr>
        <w:noBreakHyphen/>
      </w:r>
      <w:r w:rsidRPr="001B78AD">
        <w:rPr>
          <w:color w:val="000000" w:themeColor="text1"/>
          <w:u w:color="000000" w:themeColor="text1"/>
        </w:rPr>
        <w:t>720.</w:t>
      </w:r>
      <w:r>
        <w:rPr>
          <w:color w:val="000000" w:themeColor="text1"/>
          <w:u w:color="000000" w:themeColor="text1"/>
        </w:rPr>
        <w:tab/>
      </w:r>
      <w:r w:rsidRPr="001B78AD">
        <w:rPr>
          <w:color w:val="000000" w:themeColor="text1"/>
          <w:u w:color="000000" w:themeColor="text1"/>
        </w:rPr>
        <w:t>(A)</w:t>
      </w:r>
      <w:r>
        <w:rPr>
          <w:color w:val="000000" w:themeColor="text1"/>
          <w:u w:color="000000" w:themeColor="text1"/>
        </w:rPr>
        <w:tab/>
      </w:r>
      <w:r w:rsidRPr="001B78AD">
        <w:rPr>
          <w:color w:val="000000" w:themeColor="text1"/>
          <w:u w:color="000000" w:themeColor="text1"/>
        </w:rPr>
        <w:t xml:space="preserve">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Delivery of a notice or document pursuant to this section must be considered equivalent to the following delivery methods: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first class mail;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first class mail, postage prepaid.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(C)(1)</w:t>
      </w:r>
      <w:r>
        <w:rPr>
          <w:color w:val="000000" w:themeColor="text1"/>
          <w:u w:color="000000" w:themeColor="text1"/>
        </w:rPr>
        <w:tab/>
      </w:r>
      <w:r w:rsidRPr="001B78AD">
        <w:rPr>
          <w:color w:val="000000" w:themeColor="text1"/>
          <w:u w:color="000000" w:themeColor="text1"/>
        </w:rPr>
        <w:t xml:space="preserve">A notice or document may be delivered by electronic means by an insurer to a party if: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(a) </w:t>
      </w:r>
      <w:r>
        <w:rPr>
          <w:color w:val="000000" w:themeColor="text1"/>
          <w:u w:color="000000" w:themeColor="text1"/>
        </w:rPr>
        <w:tab/>
      </w:r>
      <w:r w:rsidRPr="001B78AD">
        <w:rPr>
          <w:color w:val="000000" w:themeColor="text1"/>
          <w:u w:color="000000" w:themeColor="text1"/>
        </w:rPr>
        <w:t xml:space="preserve">the party has affirmatively consented to that method of delivery and has not withdrawn the consent;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(b)</w:t>
      </w:r>
      <w:r>
        <w:rPr>
          <w:color w:val="000000" w:themeColor="text1"/>
          <w:u w:color="000000" w:themeColor="text1"/>
        </w:rPr>
        <w:tab/>
      </w:r>
      <w:r w:rsidRPr="001B78AD">
        <w:rPr>
          <w:color w:val="000000" w:themeColor="text1"/>
          <w:u w:color="000000" w:themeColor="text1"/>
        </w:rPr>
        <w:t xml:space="preserve">the party, before giving consent, is provided with a clear and conspicuous statement informing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the right or option of the party to have the notice or document provided or made available in paper or another non</w:t>
      </w:r>
      <w:r>
        <w:rPr>
          <w:color w:val="000000" w:themeColor="text1"/>
          <w:u w:color="000000" w:themeColor="text1"/>
        </w:rPr>
        <w:noBreakHyphen/>
      </w:r>
      <w:r w:rsidRPr="001B78AD">
        <w:rPr>
          <w:color w:val="000000" w:themeColor="text1"/>
          <w:u w:color="000000" w:themeColor="text1"/>
        </w:rPr>
        <w:t xml:space="preserve">electronic form at no additional cost;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the right of the party at any time to withdraw consent to have a notice or document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(iii)</w:t>
      </w:r>
      <w:r>
        <w:rPr>
          <w:color w:val="000000" w:themeColor="text1"/>
          <w:u w:color="000000" w:themeColor="text1"/>
        </w:rPr>
        <w:tab/>
      </w:r>
      <w:r w:rsidRPr="001B78AD">
        <w:rPr>
          <w:color w:val="000000" w:themeColor="text1"/>
          <w:u w:color="000000" w:themeColor="text1"/>
        </w:rPr>
        <w:t xml:space="preserve">the specific notice or document or categories of notices or documents that may be delivered by electronic means during the course of the relationship between the insurer and 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(iv)</w:t>
      </w:r>
      <w:r>
        <w:rPr>
          <w:color w:val="000000" w:themeColor="text1"/>
          <w:u w:color="000000" w:themeColor="text1"/>
        </w:rPr>
        <w:tab/>
      </w:r>
      <w:r w:rsidRPr="001B78AD">
        <w:rPr>
          <w:color w:val="000000" w:themeColor="text1"/>
          <w:u w:color="000000" w:themeColor="text1"/>
        </w:rPr>
        <w:t xml:space="preserve">the means, after consent is given, by which a party may obtain a paper copy of a notice or document delivered by electronic means at no additional cost;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(v)</w:t>
      </w:r>
      <w:r>
        <w:rPr>
          <w:color w:val="000000" w:themeColor="text1"/>
          <w:u w:color="000000" w:themeColor="text1"/>
        </w:rPr>
        <w:tab/>
      </w:r>
      <w:r w:rsidRPr="001B78AD">
        <w:rPr>
          <w:color w:val="000000" w:themeColor="text1"/>
          <w:u w:color="000000" w:themeColor="text1"/>
        </w:rPr>
        <w:t xml:space="preserve">the procedure a party must follow to withdraw consent to have a notice or document delivered by electronic means and to update information needed to contact the party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(c)</w:t>
      </w:r>
      <w:r>
        <w:rPr>
          <w:color w:val="000000" w:themeColor="text1"/>
          <w:u w:color="000000" w:themeColor="text1"/>
        </w:rPr>
        <w:tab/>
      </w:r>
      <w:r w:rsidRPr="001B78AD">
        <w:rPr>
          <w:color w:val="000000" w:themeColor="text1"/>
          <w:u w:color="000000" w:themeColor="text1"/>
        </w:rPr>
        <w:t xml:space="preserve">the transmission or delivery method used for the electronic notice includes conspicuous language concerning its subject or purpose;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the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(i) </w:t>
      </w:r>
      <w:r>
        <w:rPr>
          <w:color w:val="000000" w:themeColor="text1"/>
          <w:u w:color="000000" w:themeColor="text1"/>
        </w:rPr>
        <w:tab/>
      </w:r>
      <w:r w:rsidRPr="001B78AD">
        <w:rPr>
          <w:color w:val="000000" w:themeColor="text1"/>
          <w:u w:color="000000" w:themeColor="text1"/>
        </w:rPr>
        <w:t xml:space="preserve">before giving consent, is provided with a statement of the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 xml:space="preserve">provide the party with a statement of the revised hardware and software requirements for access to and retention of a notice or document delivered by electronic means;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(ii)</w:t>
      </w:r>
      <w:r>
        <w:rPr>
          <w:color w:val="000000" w:themeColor="text1"/>
          <w:u w:color="000000" w:themeColor="text1"/>
        </w:rPr>
        <w:tab/>
      </w:r>
      <w:r w:rsidRPr="001B78AD">
        <w:rPr>
          <w:color w:val="000000" w:themeColor="text1"/>
          <w:u w:color="000000" w:themeColor="text1"/>
        </w:rPr>
        <w:t xml:space="preserve">comply with the requirements of subsection (A).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No insurer may cancel, refuse to issue, or refuse to renew a policy because the applicant or insured refuses to agree to receive mailings electronically pursuant to this subsection.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(D)</w:t>
      </w:r>
      <w:r>
        <w:rPr>
          <w:color w:val="000000" w:themeColor="text1"/>
          <w:u w:color="000000" w:themeColor="text1"/>
        </w:rPr>
        <w:tab/>
      </w:r>
      <w:r w:rsidRPr="001B78AD">
        <w:rPr>
          <w:color w:val="000000" w:themeColor="text1"/>
          <w:u w:color="000000" w:themeColor="text1"/>
        </w:rPr>
        <w:t xml:space="preserve">This section does not affect requirements related to content or timing of any notice or document required under applicable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(E)</w:t>
      </w:r>
      <w:r>
        <w:rPr>
          <w:color w:val="000000" w:themeColor="text1"/>
          <w:u w:color="000000" w:themeColor="text1"/>
        </w:rPr>
        <w:tab/>
      </w:r>
      <w:r w:rsidRPr="001B78AD">
        <w:rPr>
          <w:color w:val="000000" w:themeColor="text1"/>
          <w:u w:color="000000" w:themeColor="text1"/>
        </w:rPr>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w:t>
      </w:r>
      <w:r w:rsidRPr="001B78AD">
        <w:rPr>
          <w:color w:val="000000" w:themeColor="text1"/>
          <w:u w:color="000000" w:themeColor="text1"/>
        </w:rPr>
        <w:lastRenderedPageBreak/>
        <w:t xml:space="preserve">method used provides for verification or acknowledgment of receipt.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(F)</w:t>
      </w:r>
      <w:r>
        <w:rPr>
          <w:color w:val="000000" w:themeColor="text1"/>
          <w:u w:color="000000" w:themeColor="text1"/>
        </w:rPr>
        <w:tab/>
      </w:r>
      <w:r w:rsidRPr="001B78AD">
        <w:rPr>
          <w:color w:val="000000" w:themeColor="text1"/>
          <w:u w:color="000000" w:themeColor="text1"/>
        </w:rPr>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(G)</w:t>
      </w:r>
      <w:r>
        <w:rPr>
          <w:color w:val="000000" w:themeColor="text1"/>
          <w:u w:color="000000" w:themeColor="text1"/>
        </w:rPr>
        <w:tab/>
      </w:r>
      <w:r w:rsidRPr="001B78AD">
        <w:rPr>
          <w:color w:val="000000" w:themeColor="text1"/>
          <w:u w:color="000000" w:themeColor="text1"/>
        </w:rPr>
        <w:t xml:space="preserve">A withdrawal of consent by a party: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does not affect the legal effectiveness, validity, or enforceability of a notice or document delivered by electronic means to the party before the withdrawal of consent is effective;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 xml:space="preserve">is effective four business days after receipt of the withdrawal by the insurer.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(H)</w:t>
      </w:r>
      <w:r>
        <w:rPr>
          <w:color w:val="000000" w:themeColor="text1"/>
          <w:u w:color="000000" w:themeColor="text1"/>
        </w:rPr>
        <w:tab/>
      </w:r>
      <w:r w:rsidRPr="001B78AD">
        <w:rPr>
          <w:color w:val="000000" w:themeColor="text1"/>
          <w:u w:color="000000" w:themeColor="text1"/>
        </w:rPr>
        <w:t xml:space="preserve">Failure by an insurer to comply with subsection (C)(1)(e) may be treated, at the election of the party, as a withdrawal of consent for purposes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(I)</w:t>
      </w:r>
      <w:r>
        <w:rPr>
          <w:color w:val="000000" w:themeColor="text1"/>
          <w:u w:color="000000" w:themeColor="text1"/>
        </w:rPr>
        <w:tab/>
      </w:r>
      <w:r w:rsidRPr="001B78AD">
        <w:rPr>
          <w:color w:val="000000" w:themeColor="text1"/>
          <w:u w:color="000000" w:themeColor="text1"/>
        </w:rPr>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(J)</w:t>
      </w:r>
      <w:r>
        <w:rPr>
          <w:color w:val="000000" w:themeColor="text1"/>
          <w:u w:color="000000" w:themeColor="text1"/>
        </w:rPr>
        <w:tab/>
      </w:r>
      <w:r w:rsidRPr="001B78AD">
        <w:rPr>
          <w:color w:val="000000" w:themeColor="text1"/>
          <w:u w:color="000000" w:themeColor="text1"/>
        </w:rPr>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(1)</w:t>
      </w:r>
      <w:r>
        <w:rPr>
          <w:color w:val="000000" w:themeColor="text1"/>
          <w:u w:color="000000" w:themeColor="text1"/>
        </w:rPr>
        <w:tab/>
      </w:r>
      <w:r w:rsidRPr="001B78AD">
        <w:rPr>
          <w:color w:val="000000" w:themeColor="text1"/>
          <w:u w:color="000000" w:themeColor="text1"/>
        </w:rPr>
        <w:t xml:space="preserve">the notices or documents that may be delivered by electronic means under this section that were not previously delivered electronically; and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the party</w:t>
      </w:r>
      <w:r w:rsidRPr="00B26E4F">
        <w:rPr>
          <w:color w:val="000000" w:themeColor="text1"/>
          <w:u w:color="000000" w:themeColor="text1"/>
        </w:rPr>
        <w:t>’</w:t>
      </w:r>
      <w:r w:rsidRPr="001B78AD">
        <w:rPr>
          <w:color w:val="000000" w:themeColor="text1"/>
          <w:u w:color="000000" w:themeColor="text1"/>
        </w:rPr>
        <w:t xml:space="preserve">s right to withdraw at any time consent to have notices or documents delivered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(K)</w:t>
      </w:r>
      <w:r>
        <w:rPr>
          <w:color w:val="000000" w:themeColor="text1"/>
          <w:u w:color="000000" w:themeColor="text1"/>
        </w:rPr>
        <w:tab/>
      </w:r>
      <w:r w:rsidRPr="001B78AD">
        <w:rPr>
          <w:color w:val="000000" w:themeColor="text1"/>
          <w:u w:color="000000" w:themeColor="text1"/>
        </w:rPr>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(L)</w:t>
      </w:r>
      <w:r>
        <w:rPr>
          <w:color w:val="000000" w:themeColor="text1"/>
          <w:u w:color="000000" w:themeColor="text1"/>
        </w:rPr>
        <w:tab/>
      </w:r>
      <w:r w:rsidRPr="001B78AD">
        <w:rPr>
          <w:color w:val="000000" w:themeColor="text1"/>
          <w:u w:color="000000" w:themeColor="text1"/>
        </w:rPr>
        <w:t>This section may not be construed to modify, limit, or supersede the provisions of the federal Electronic Signatures in Global and National Commerce Act, Public Law 106</w:t>
      </w:r>
      <w:r>
        <w:rPr>
          <w:color w:val="000000" w:themeColor="text1"/>
          <w:u w:color="000000" w:themeColor="text1"/>
        </w:rPr>
        <w:noBreakHyphen/>
      </w:r>
      <w:r w:rsidRPr="001B78AD">
        <w:rPr>
          <w:color w:val="000000" w:themeColor="text1"/>
          <w:u w:color="000000" w:themeColor="text1"/>
        </w:rPr>
        <w:t xml:space="preserve">229, as amended. It is intended to provide an insurer additional options for the delivery of electronic notices and documents. An insurer </w:t>
      </w:r>
      <w:r w:rsidRPr="001B78AD">
        <w:rPr>
          <w:color w:val="000000" w:themeColor="text1"/>
          <w:u w:color="000000" w:themeColor="text1"/>
        </w:rPr>
        <w:lastRenderedPageBreak/>
        <w:t xml:space="preserve">choosing to use procedures outlined in ESIGN, UETA, or other applicable law or regulation governing such notice or documents must be considered to be in compliance with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(M)</w:t>
      </w:r>
      <w:r>
        <w:rPr>
          <w:color w:val="000000" w:themeColor="text1"/>
          <w:u w:color="000000" w:themeColor="text1"/>
        </w:rPr>
        <w:tab/>
      </w:r>
      <w:r w:rsidRPr="001B78AD">
        <w:rPr>
          <w:color w:val="000000" w:themeColor="text1"/>
          <w:u w:color="000000" w:themeColor="text1"/>
        </w:rPr>
        <w:t>A producer may not be subject to civil liability for any harm or injury that occurs as a result of a party</w:t>
      </w:r>
      <w:r w:rsidRPr="00B26E4F">
        <w:rPr>
          <w:color w:val="000000" w:themeColor="text1"/>
          <w:u w:color="000000" w:themeColor="text1"/>
        </w:rPr>
        <w:t>’</w:t>
      </w:r>
      <w:r w:rsidRPr="001B78AD">
        <w:rPr>
          <w:color w:val="000000" w:themeColor="text1"/>
          <w:u w:color="000000" w:themeColor="text1"/>
        </w:rPr>
        <w:t>s election to receive any notice or document by electronic means or by an insurer</w:t>
      </w:r>
      <w:r w:rsidRPr="00B26E4F">
        <w:rPr>
          <w:color w:val="000000" w:themeColor="text1"/>
          <w:u w:color="000000" w:themeColor="text1"/>
        </w:rPr>
        <w:t>’</w:t>
      </w:r>
      <w:r w:rsidRPr="001B78AD">
        <w:rPr>
          <w:color w:val="000000" w:themeColor="text1"/>
          <w:u w:color="000000" w:themeColor="text1"/>
        </w:rPr>
        <w:t xml:space="preserve">s failure to deliver a notice or document by electronic means.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466F" w:rsidRPr="006E1626">
        <w:rPr>
          <w:u w:color="000000" w:themeColor="text1"/>
        </w:rPr>
        <w:t>(N)</w:t>
      </w:r>
      <w:r w:rsidR="00C8466F" w:rsidRPr="006E1626">
        <w:rPr>
          <w:u w:color="000000" w:themeColor="text1"/>
        </w:rPr>
        <w:tab/>
      </w:r>
      <w:bookmarkStart w:id="5" w:name="temp"/>
      <w:bookmarkEnd w:id="5"/>
      <w:r w:rsidR="00C8466F" w:rsidRPr="006E1626">
        <w:rPr>
          <w:u w:color="000000" w:themeColor="text1"/>
        </w:rPr>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w:t>
      </w:r>
      <w:r w:rsidRPr="001B78AD">
        <w:rPr>
          <w:color w:val="000000" w:themeColor="text1"/>
          <w:u w:color="000000" w:themeColor="text1"/>
        </w:rPr>
        <w:t xml:space="preserve">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78AD">
        <w:rPr>
          <w:color w:val="000000" w:themeColor="text1"/>
          <w:u w:color="000000" w:themeColor="text1"/>
        </w:rPr>
        <w:t>(O)</w:t>
      </w:r>
      <w:r>
        <w:rPr>
          <w:color w:val="000000" w:themeColor="text1"/>
          <w:u w:color="000000" w:themeColor="text1"/>
        </w:rPr>
        <w:tab/>
      </w:r>
      <w:r w:rsidRPr="001B78AD">
        <w:rPr>
          <w:color w:val="000000" w:themeColor="text1"/>
          <w:u w:color="000000" w:themeColor="text1"/>
        </w:rPr>
        <w:t xml:space="preserve">The director or his designee may promulgate by bulletin, regulation or order the requirements necessary to implement the provisions of this section.” </w:t>
      </w:r>
    </w:p>
    <w:p w:rsidR="00B26E4F" w:rsidRPr="001B78AD"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AF0" w:rsidRDefault="00B26E4F" w:rsidP="00B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8AD">
        <w:rPr>
          <w:color w:val="000000" w:themeColor="text1"/>
          <w:u w:color="000000" w:themeColor="text1"/>
        </w:rPr>
        <w:t>SECTION</w:t>
      </w:r>
      <w:r>
        <w:rPr>
          <w:color w:val="000000" w:themeColor="text1"/>
          <w:u w:color="000000" w:themeColor="text1"/>
        </w:rPr>
        <w:tab/>
      </w:r>
      <w:r w:rsidRPr="001B78AD">
        <w:rPr>
          <w:color w:val="000000" w:themeColor="text1"/>
          <w:u w:color="000000" w:themeColor="text1"/>
        </w:rPr>
        <w:t>2.</w:t>
      </w:r>
      <w:r>
        <w:rPr>
          <w:color w:val="000000" w:themeColor="text1"/>
          <w:u w:color="000000" w:themeColor="text1"/>
        </w:rPr>
        <w:tab/>
      </w:r>
      <w:r w:rsidRPr="001B78AD">
        <w:rPr>
          <w:color w:val="000000" w:themeColor="text1"/>
          <w:u w:color="000000" w:themeColor="text1"/>
        </w:rPr>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EC3" w:rsidRDefault="00085EC3" w:rsidP="00085EC3">
      <w:pPr>
        <w:suppressAutoHyphens/>
      </w:pPr>
    </w:p>
    <w:sectPr w:rsidR="00085EC3" w:rsidSect="00D0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7CA3CA-F41B-4FB4-A7D6-06A3B664A535}"/>
    <w:embedBold r:id="rId2" w:fontKey="{122F2245-3561-48F7-8F2A-FEEBEC0BF7D3}"/>
  </w:font>
  <w:font w:name="Calibri">
    <w:panose1 w:val="020F0502020204030204"/>
    <w:charset w:val="00"/>
    <w:family w:val="swiss"/>
    <w:pitch w:val="variable"/>
    <w:sig w:usb0="E00002FF" w:usb1="4000ACFF" w:usb2="00000001" w:usb3="00000000" w:csb0="0000019F" w:csb1="00000000"/>
    <w:embedRegular r:id="rId3" w:fontKey="{C6931428-54D9-491C-B2E8-7579566C0A68}"/>
  </w:font>
  <w:font w:name="Cambria">
    <w:panose1 w:val="02040503050406030204"/>
    <w:charset w:val="00"/>
    <w:family w:val="roman"/>
    <w:pitch w:val="variable"/>
    <w:sig w:usb0="E00002FF" w:usb1="400004FF" w:usb2="00000000" w:usb3="00000000" w:csb0="0000019F" w:csb1="00000000"/>
    <w:embedRegular r:id="rId4" w:fontKey="{6FEFEBB4-9CE4-400D-B8D3-9A2A29E30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rsidR="00D031CE">
      <w:t>-</w:t>
    </w:r>
    <w:r w:rsidR="00D031CE">
      <w:fldChar w:fldCharType="begin"/>
    </w:r>
    <w:r w:rsidR="00D031CE">
      <w:instrText xml:space="preserve"> PAGE  \* MERGEFORMAT </w:instrText>
    </w:r>
    <w:r w:rsidR="00D031CE">
      <w:fldChar w:fldCharType="separate"/>
    </w:r>
    <w:r w:rsidR="00085EC3">
      <w:rPr>
        <w:noProof/>
      </w:rPr>
      <w:t>1</w:t>
    </w:r>
    <w:r w:rsidR="00D031CE">
      <w:fldChar w:fldCharType="end"/>
    </w:r>
    <w:r w:rsidR="00D0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CE" w:rsidRPr="003D1437" w:rsidRDefault="00D031CE"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085E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61676"/>
    <w:rsid w:val="00085E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1154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706FB8"/>
    <w:rsid w:val="00734F00"/>
    <w:rsid w:val="007759A6"/>
    <w:rsid w:val="007A70AE"/>
    <w:rsid w:val="00817F5A"/>
    <w:rsid w:val="008362E8"/>
    <w:rsid w:val="0085786E"/>
    <w:rsid w:val="008A1768"/>
    <w:rsid w:val="008A489F"/>
    <w:rsid w:val="008F0F33"/>
    <w:rsid w:val="008F4429"/>
    <w:rsid w:val="0094021A"/>
    <w:rsid w:val="009B44AF"/>
    <w:rsid w:val="009C4BBD"/>
    <w:rsid w:val="009C6A0B"/>
    <w:rsid w:val="009E7EDA"/>
    <w:rsid w:val="009F0C77"/>
    <w:rsid w:val="009F4DD1"/>
    <w:rsid w:val="00A02543"/>
    <w:rsid w:val="00A41684"/>
    <w:rsid w:val="00A64E80"/>
    <w:rsid w:val="00A72BCD"/>
    <w:rsid w:val="00A741D9"/>
    <w:rsid w:val="00A833AB"/>
    <w:rsid w:val="00A9741D"/>
    <w:rsid w:val="00AC34A2"/>
    <w:rsid w:val="00AD1C9A"/>
    <w:rsid w:val="00AD4B17"/>
    <w:rsid w:val="00B048E4"/>
    <w:rsid w:val="00B26E4F"/>
    <w:rsid w:val="00B317B3"/>
    <w:rsid w:val="00B412D4"/>
    <w:rsid w:val="00B8112E"/>
    <w:rsid w:val="00BE3C22"/>
    <w:rsid w:val="00C0345E"/>
    <w:rsid w:val="00C31C95"/>
    <w:rsid w:val="00C3483A"/>
    <w:rsid w:val="00C74E9D"/>
    <w:rsid w:val="00C826DD"/>
    <w:rsid w:val="00C82FD3"/>
    <w:rsid w:val="00C8466F"/>
    <w:rsid w:val="00C92819"/>
    <w:rsid w:val="00C92CB7"/>
    <w:rsid w:val="00CC6B7B"/>
    <w:rsid w:val="00CD2089"/>
    <w:rsid w:val="00D031CE"/>
    <w:rsid w:val="00D13678"/>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2F58A-8312-4A23-93ED-D83FBE09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6</Pages>
  <Words>1538</Words>
  <Characters>7849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(Jan. 26, 2017) - South Carolina Legislature Online</dc:title>
  <dc:creator>%USERNAME%</dc:creator>
  <cp:lastModifiedBy>Angela Hill</cp:lastModifiedBy>
  <cp:revision>2</cp:revision>
  <cp:lastPrinted>2017-01-11T20:32:00Z</cp:lastPrinted>
  <dcterms:created xsi:type="dcterms:W3CDTF">2017-01-26T22:28:00Z</dcterms:created>
  <dcterms:modified xsi:type="dcterms:W3CDTF">2017-01-26T22:28:00Z</dcterms:modified>
</cp:coreProperties>
</file>