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right" w:pos="5933"/>
        </w:tabs>
        <w:suppressAutoHyphens/>
      </w:pPr>
      <w:r>
        <w:tab/>
      </w:r>
      <w:r>
        <w:rPr>
          <w:b/>
          <w:sz w:val="36"/>
        </w:rPr>
        <w:t>S. 351</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65D">
        <w:t>Senator Alexander</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9506D6">
      <w:pPr>
        <w:tabs>
          <w:tab w:val="right" w:pos="5933"/>
        </w:tabs>
        <w:suppressAutoHyphens/>
      </w:pPr>
      <w:r>
        <w:t>S. Printed 2/22/17--S.</w:t>
      </w:r>
      <w:r w:rsidR="009506D6">
        <w:tab/>
        <w:t>[SEC 2/23/17 4:33 PM]</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351) </w:t>
      </w:r>
      <w:r w:rsidRPr="00AE0C1C">
        <w:rPr>
          <w:color w:val="000000" w:themeColor="text1"/>
          <w:u w:color="000000" w:themeColor="text1"/>
        </w:rPr>
        <w:t>to amend the Code of Laws of South Carolina, 1976, by adding Section 12</w:t>
      </w:r>
      <w:r w:rsidRPr="00AE0C1C">
        <w:rPr>
          <w:color w:val="000000" w:themeColor="text1"/>
          <w:u w:color="000000" w:themeColor="text1"/>
        </w:rPr>
        <w:noBreakHyphen/>
        <w:t>6</w:t>
      </w:r>
      <w:r w:rsidRPr="00AE0C1C">
        <w:rPr>
          <w:color w:val="000000" w:themeColor="text1"/>
          <w:u w:color="000000" w:themeColor="text1"/>
        </w:rPr>
        <w:noBreakHyphen/>
        <w:t>3790 so as to allow an income tax credit for each clinical rotation served</w:t>
      </w:r>
      <w:r>
        <w:t>, etc., respectfully</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 xml:space="preserve">Amend the bill, as and if amended, by striking SECTION 1 and inserting: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4531D">
        <w:rPr>
          <w:snapToGrid w:val="0"/>
        </w:rPr>
        <w:t>/</w:t>
      </w:r>
      <w:r w:rsidRPr="0094531D">
        <w:rPr>
          <w:snapToGrid w:val="0"/>
        </w:rPr>
        <w:tab/>
      </w:r>
      <w:r w:rsidRPr="0094531D">
        <w:rPr>
          <w:u w:color="000000" w:themeColor="text1"/>
        </w:rPr>
        <w:tab/>
      </w:r>
      <w:r w:rsidRPr="0094531D">
        <w:t>SECTION</w:t>
      </w:r>
      <w:r w:rsidRPr="0094531D">
        <w:tab/>
        <w:t>1.</w:t>
      </w:r>
      <w:r w:rsidRPr="0094531D">
        <w:tab/>
        <w:t>A.</w:t>
      </w:r>
      <w:r w:rsidRPr="0094531D">
        <w:tab/>
      </w:r>
      <w:r w:rsidRPr="0094531D">
        <w:rPr>
          <w:u w:color="000000" w:themeColor="text1"/>
        </w:rPr>
        <w:t>Article 25, Chapter 6, Title 12 of the 1976 Code is amended by adding:</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“Section 12</w:t>
      </w:r>
      <w:r w:rsidRPr="0094531D">
        <w:rPr>
          <w:u w:color="000000" w:themeColor="text1"/>
        </w:rPr>
        <w:noBreakHyphen/>
        <w:t>6</w:t>
      </w:r>
      <w:r w:rsidRPr="0094531D">
        <w:rPr>
          <w:u w:color="000000" w:themeColor="text1"/>
        </w:rPr>
        <w:noBreakHyphen/>
        <w:t>3790.</w:t>
      </w:r>
      <w:r w:rsidRPr="0094531D">
        <w:rPr>
          <w:u w:color="000000" w:themeColor="text1"/>
        </w:rPr>
        <w:tab/>
        <w:t>(A)(1)</w:t>
      </w:r>
      <w:r w:rsidRPr="0094531D">
        <w:rPr>
          <w:u w:color="000000" w:themeColor="text1"/>
        </w:rPr>
        <w:tab/>
        <w:t>Beginning after 2016, and ending after 2021, there is allowed an income tax credit for each clinical rotation a physician serves as the preceptor for a medical school required clinical rotation, advanced practice nursing program required clinical rotation, and physician assistant program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If at least fifty percent of the physician’s practice consists of a combined total of Medicaid insured, Medicare insured, and self</w:t>
      </w:r>
      <w:r w:rsidRPr="0094531D">
        <w:rPr>
          <w:u w:color="000000" w:themeColor="text1"/>
        </w:rPr>
        <w:noBreakHyphen/>
        <w:t>pay patients, then the credit is equal to one thousand dollars for each rotation served, not to exceed four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If at least thirty percent of the physician’s practice consists of a combined total of Medicaid insured, Medicare insured, and self</w:t>
      </w:r>
      <w:r w:rsidRPr="0094531D">
        <w:rPr>
          <w:u w:color="000000" w:themeColor="text1"/>
        </w:rPr>
        <w:noBreakHyphen/>
        <w:t>pay patients, then the credit is equal to seven hundred fifty dollars for each rotation served, not to exceed three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(4)</w:t>
      </w:r>
      <w:r w:rsidRPr="0094531D">
        <w:rPr>
          <w:u w:color="000000" w:themeColor="text1"/>
        </w:rPr>
        <w:tab/>
        <w:t>If less than thirty percent of the physician’s practice consists of a combined total of Medicaid insured, Medicare insured, and self</w:t>
      </w:r>
      <w:r w:rsidRPr="0094531D">
        <w:rPr>
          <w:u w:color="000000" w:themeColor="text1"/>
        </w:rPr>
        <w:noBreakHyphen/>
        <w:t>pay patients, then the credit is disallowed.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lastRenderedPageBreak/>
        <w:tab/>
      </w:r>
      <w:r w:rsidRPr="0094531D">
        <w:rPr>
          <w:u w:color="000000" w:themeColor="text1"/>
        </w:rPr>
        <w:tab/>
        <w:t>(5)</w:t>
      </w:r>
      <w:r w:rsidRPr="0094531D">
        <w:rPr>
          <w:u w:color="000000" w:themeColor="text1"/>
        </w:rPr>
        <w:tab/>
        <w:t xml:space="preserve">The credits allowed by this subsection are not cumulative and may not be combined.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(B)(1)</w:t>
      </w:r>
      <w:r w:rsidRPr="0094531D">
        <w:rPr>
          <w:u w:color="000000" w:themeColor="text1"/>
        </w:rPr>
        <w:tab/>
        <w:t>Beginning after 2016 and ending after 2021, there is allowed an income tax credit for each clinical rotation an advanced practice registered nurse or physician assistant serves as the preceptor for an advanced practice nursing or physician assistant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If at least fifty percent of the advanced practice registered nurse’s or physician assistant’s practice consists of a combined total of Medicaid insured, Medicare insured, and self</w:t>
      </w:r>
      <w:r w:rsidRPr="0094531D">
        <w:rPr>
          <w:u w:color="000000" w:themeColor="text1"/>
        </w:rPr>
        <w:noBreakHyphen/>
        <w:t>pay patients, then the credit is equal to seven hundred fifty dollars for each rotation served, not to exceed three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If at least thirty percent of the advanced practice registered nurse’s or physician assistant’s practice consists of a combined total of Medicaid insured, Medicare insured, and self</w:t>
      </w:r>
      <w:r w:rsidRPr="0094531D">
        <w:rPr>
          <w:u w:color="000000" w:themeColor="text1"/>
        </w:rPr>
        <w:noBreakHyphen/>
        <w:t>pay patients, then the credit is equal to five hundred dollars for each rotation served, not to exceed two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(4)</w:t>
      </w:r>
      <w:r w:rsidRPr="0094531D">
        <w:rPr>
          <w:u w:color="000000" w:themeColor="text1"/>
        </w:rPr>
        <w:tab/>
        <w:t>If less than thirty percent of the advance practice registered nurse’s or physician assistant’s practice consists of a combined total of Medicaid insured, Medicare insured, and self</w:t>
      </w:r>
      <w:r w:rsidRPr="0094531D">
        <w:rPr>
          <w:u w:color="000000" w:themeColor="text1"/>
        </w:rPr>
        <w:noBreakHyphen/>
        <w:t>pay patients, then the credit is disallowed.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(5)</w:t>
      </w:r>
      <w:r w:rsidRPr="0094531D">
        <w:rPr>
          <w:u w:color="000000" w:themeColor="text1"/>
        </w:rPr>
        <w:tab/>
        <w:t>The credits allowed by this subsection are not cumulative and may not be combined.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(C)</w:t>
      </w:r>
      <w:r w:rsidRPr="0094531D">
        <w:rPr>
          <w:u w:color="000000" w:themeColor="text1"/>
        </w:rPr>
        <w:tab/>
        <w:t>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carry</w:t>
      </w:r>
      <w:r w:rsidRPr="0094531D">
        <w:rPr>
          <w:u w:color="000000" w:themeColor="text1"/>
        </w:rPr>
        <w:noBreakHyphen/>
        <w:t>over may not be used for a taxable year that begins more than ten years from the year the credit was earned.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(D)</w:t>
      </w:r>
      <w:r w:rsidRPr="0094531D">
        <w:rPr>
          <w:u w:color="000000" w:themeColor="text1"/>
        </w:rPr>
        <w:tab/>
        <w:t>Beginning after 2016, and ending after 2021, if a taxpayer earns the maximum annual credit amount allowed by this section, and the taxpayer serves additional rotations that otherwise would have qualified for the credit, then the taxpayer may claim a deduction in an amount equal to the amount that credit would have equaled.  A taxpayer may earn the deduction allowed by this subsection up to six times a tax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(E)</w:t>
      </w:r>
      <w:r w:rsidRPr="0094531D">
        <w:rPr>
          <w:u w:color="000000" w:themeColor="text1"/>
        </w:rPr>
        <w:tab/>
        <w:t>By March thirsty</w:t>
      </w:r>
      <w:r w:rsidRPr="0094531D">
        <w:rPr>
          <w:u w:color="000000" w:themeColor="text1"/>
        </w:rPr>
        <w:noBreakHyphen/>
        <w:t xml:space="preserve">first of each year, the department shall report to the Senate Finance Committee, the House Ways and Means Committee, and the Governor the number of taxpayers claiming the </w:t>
      </w:r>
      <w:r w:rsidRPr="0094531D">
        <w:rPr>
          <w:u w:color="000000" w:themeColor="text1"/>
        </w:rPr>
        <w:lastRenderedPageBreak/>
        <w:t>credit allowed by this section, the total amount of credits allowed, and the number of hours the recipient taxpayers served as preceptors.  The department must disaggregate taxpayers between physicians, advanced practice registered nurses, and physician assistants.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u w:color="000000" w:themeColor="text1"/>
        </w:rPr>
        <w:tab/>
        <w:t>(F)</w:t>
      </w:r>
      <w:r w:rsidRPr="0094531D">
        <w:rPr>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(G)</w:t>
      </w:r>
      <w:r w:rsidRPr="0094531D">
        <w:rPr>
          <w:u w:color="000000" w:themeColor="text1"/>
        </w:rPr>
        <w:tab/>
        <w:t>For purposes of this section: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(1)</w:t>
      </w:r>
      <w:r w:rsidRPr="0094531D">
        <w:rPr>
          <w:u w:color="000000" w:themeColor="text1"/>
        </w:rPr>
        <w:tab/>
        <w:t>‘Independent institution of higher learning’ has the same meaning as provided in Section 59-113-50.</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‘Medical school required clinical rotation’, ‘physician assistant program required clinical rotation’, or ‘advanced practice nursing program required clinical rotation’ means a clinical rotation for a public teaching institution or independent institution of higher learning which:</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t>(a)</w:t>
      </w:r>
      <w:r w:rsidRPr="0094531D">
        <w:rPr>
          <w:u w:color="000000" w:themeColor="text1"/>
        </w:rPr>
        <w:tab/>
        <w:t>is established for a student who is enrolled in a South Carolina public teaching institution or an independent institution of higher learning:</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w:t>
      </w:r>
      <w:r w:rsidRPr="0094531D">
        <w:rPr>
          <w:u w:color="000000" w:themeColor="text1"/>
        </w:rPr>
        <w:tab/>
      </w:r>
      <w:r w:rsidR="009506D6">
        <w:rPr>
          <w:u w:color="000000" w:themeColor="text1"/>
        </w:rPr>
        <w:t xml:space="preserve"> </w:t>
      </w:r>
      <w:r w:rsidRPr="0094531D">
        <w:rPr>
          <w:u w:color="000000" w:themeColor="text1"/>
        </w:rPr>
        <w:t>medical school;</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w:t>
      </w:r>
      <w:r w:rsidRPr="0094531D">
        <w:rPr>
          <w:u w:color="000000" w:themeColor="text1"/>
        </w:rPr>
        <w:tab/>
        <w:t>physician assistant program; or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(iii)</w:t>
      </w:r>
      <w:r w:rsidRPr="0094531D">
        <w:rPr>
          <w:u w:color="000000" w:themeColor="text1"/>
        </w:rPr>
        <w:tab/>
        <w:t>advanced practice nursing program; and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t>(b)</w:t>
      </w:r>
      <w:r w:rsidRPr="0094531D">
        <w:rPr>
          <w:u w:color="000000" w:themeColor="text1"/>
        </w:rPr>
        <w:tab/>
        <w:t>includes a minimum of one hundred sixty hours of instruction in one of the following clinical settings: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w:t>
      </w:r>
      <w:r w:rsidRPr="0094531D">
        <w:rPr>
          <w:u w:color="000000" w:themeColor="text1"/>
        </w:rPr>
        <w:tab/>
      </w:r>
      <w:r w:rsidRPr="0094531D">
        <w:rPr>
          <w:u w:color="000000" w:themeColor="text1"/>
        </w:rPr>
        <w:tab/>
        <w:t>family medicine;</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w:t>
      </w:r>
      <w:r w:rsidRPr="0094531D">
        <w:rPr>
          <w:u w:color="000000" w:themeColor="text1"/>
        </w:rPr>
        <w:tab/>
        <w:t xml:space="preserve">internal medicine;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(iii)</w:t>
      </w:r>
      <w:r w:rsidRPr="0094531D">
        <w:rPr>
          <w:u w:color="000000" w:themeColor="text1"/>
        </w:rPr>
        <w:tab/>
        <w:t>pediatrics;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(iv)</w:t>
      </w:r>
      <w:r w:rsidRPr="0094531D">
        <w:rPr>
          <w:u w:color="000000" w:themeColor="text1"/>
        </w:rPr>
        <w:tab/>
        <w:t>obstetrics and gynecology;</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w:t>
      </w:r>
      <w:r w:rsidRPr="0094531D">
        <w:rPr>
          <w:u w:color="000000" w:themeColor="text1"/>
        </w:rPr>
        <w:tab/>
        <w:t>emergency medicine;</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(vi)</w:t>
      </w:r>
      <w:r w:rsidRPr="0094531D">
        <w:rPr>
          <w:u w:color="000000" w:themeColor="text1"/>
        </w:rPr>
        <w:tab/>
        <w:t>psychiatry;</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(vii)</w:t>
      </w:r>
      <w:r w:rsidRPr="0094531D">
        <w:rPr>
          <w:u w:color="000000" w:themeColor="text1"/>
        </w:rPr>
        <w:tab/>
        <w:t>general surgery under the guidance of a physician, advanced practice registered nurse, or physician assistant.”</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531D">
        <w:rPr>
          <w:snapToGrid w:val="0"/>
        </w:rPr>
        <w:t>B.</w:t>
      </w:r>
      <w:r w:rsidRPr="0094531D">
        <w:rPr>
          <w:snapToGrid w:val="0"/>
        </w:rPr>
        <w:tab/>
        <w:t>Section 12-6-1140 of the 1976 Code, as last amended by Act 165 of 2016, is amended further by adding an appropriately numbered item at the end to read: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snapToGrid w:val="0"/>
        </w:rPr>
        <w:lastRenderedPageBreak/>
        <w:tab/>
        <w:t>“(  )(a)</w:t>
      </w:r>
      <w:r w:rsidRPr="0094531D">
        <w:rPr>
          <w:snapToGrid w:val="0"/>
        </w:rPr>
        <w:tab/>
        <w:t xml:space="preserve">amounts earned pursuant to Section 12-6-3790(D) for </w:t>
      </w:r>
      <w:r w:rsidRPr="0094531D">
        <w:rPr>
          <w:u w:color="000000" w:themeColor="text1"/>
        </w:rPr>
        <w:t>each clinical rotation a physician serves as the preceptor for a medical school required clinical rotation, advanced practice nursing program required clinical rotation, and physician assistant program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(b)</w:t>
      </w:r>
      <w:r w:rsidRPr="0094531D">
        <w:rPr>
          <w:u w:color="000000" w:themeColor="text1"/>
        </w:rPr>
        <w:tab/>
      </w:r>
      <w:r w:rsidRPr="0094531D">
        <w:rPr>
          <w:snapToGrid w:val="0"/>
        </w:rPr>
        <w:t xml:space="preserve">amounts earned pursuant to Section 12-6-3790(D) for </w:t>
      </w:r>
      <w:r w:rsidRPr="0094531D">
        <w:rPr>
          <w:u w:color="000000" w:themeColor="text1"/>
        </w:rPr>
        <w:t>each clinical rotation an advanced practice registered nurse or physician assistant serves as the preceptor for an advanced practice nursing or physician assistant required clinical rotation.”</w:t>
      </w:r>
      <w:r w:rsidRPr="0094531D">
        <w:rPr>
          <w:u w:color="000000" w:themeColor="text1"/>
        </w:rPr>
        <w:tab/>
      </w:r>
      <w:r w:rsidRPr="0094531D">
        <w:rPr>
          <w:u w:color="000000" w:themeColor="text1"/>
        </w:rPr>
        <w:tab/>
        <w:t>/</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Renumber sections to conform.</w:t>
      </w: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Amend title to conform.</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t>STATEMENT OF ESTIMATED FISCAL IMPACT</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1A9B">
        <w:rPr>
          <w:b/>
        </w:rPr>
        <w:t>Explanation of Fiscal Impact</w:t>
      </w:r>
    </w:p>
    <w:p w:rsidR="00DE1A9B" w:rsidRPr="00DE1A9B" w:rsidRDefault="00766240"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id w:val="-1625303363"/>
          <w:placeholder>
            <w:docPart w:val="CF2EDCDD35084CBF94B91F0A830CE053"/>
          </w:placeholder>
        </w:sdtPr>
        <w:sdtEndPr/>
        <w:sdtContent>
          <w:sdt>
            <w:sdtPr>
              <w:rPr>
                <w:rFonts w:eastAsia="Calibri"/>
                <w:b/>
              </w:rPr>
              <w:alias w:val="Bill Action"/>
              <w:tag w:val="Bill Action"/>
              <w:id w:val="2072383078"/>
              <w:placeholder>
                <w:docPart w:val="3C75E5F86BD244AC9E2CADB962BFE80D"/>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DE1A9B" w:rsidRPr="00DE1A9B">
                <w:rPr>
                  <w:rFonts w:eastAsia="Calibri"/>
                  <w:b/>
                </w:rPr>
                <w:t xml:space="preserve">Amended by Senate Finance Health and Human Services Subcommittee on </w:t>
              </w:r>
            </w:sdtContent>
          </w:sdt>
        </w:sdtContent>
      </w:sdt>
      <w:sdt>
        <w:sdtPr>
          <w:rPr>
            <w:rFonts w:eastAsia="Calibri"/>
            <w:b/>
          </w:rPr>
          <w:alias w:val="Date"/>
          <w:tag w:val="Date"/>
          <w:id w:val="-1290654691"/>
          <w:placeholder>
            <w:docPart w:val="F65EB08B24AD4AF89B0C5FB445220B4F"/>
          </w:placeholder>
          <w:date w:fullDate="2017-02-15T00:00:00Z">
            <w:dateFormat w:val="MMMM d, yyyy"/>
            <w:lid w:val="en-US"/>
            <w:storeMappedDataAs w:val="dateTime"/>
            <w:calendar w:val="gregorian"/>
          </w:date>
        </w:sdtPr>
        <w:sdtEndPr/>
        <w:sdtContent>
          <w:r w:rsidR="00DE1A9B" w:rsidRPr="00DE1A9B">
            <w:rPr>
              <w:rFonts w:eastAsia="Calibri"/>
              <w:b/>
            </w:rPr>
            <w:t>February 15, 2017</w:t>
          </w:r>
        </w:sdtContent>
      </w:sdt>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A9B">
        <w:rPr>
          <w:b/>
        </w:rPr>
        <w:t>State Expenditure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tax credit applies to tax years 2017 to 2021.  Taxpayers are allowed a credit for maximum of four rotations and may take a deduction equal to the amount of the credit for any additional rotations up to a maximum of ten rotations.  The bill also requires the Department of Revenue (DOR) to report by March thirty-first of each year to the Senate Finance Committee, the House Ways and Means Committee, and the Governor the number of taxpayers claiming the credit, the total amount of credits allowed, and the number of hours the recipient taxpayers served as preceptors.  The report must provide the information disaggregated by type of preceptor.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DOR expects to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2017 filings, which would be completed by the filing extension date in October 2018, would be reported by March 31, 2019. The department has systems </w:t>
      </w:r>
      <w:r w:rsidRPr="00DE1A9B">
        <w:rPr>
          <w:rFonts w:eastAsiaTheme="minorHAnsi" w:cstheme="minorBidi"/>
          <w:szCs w:val="22"/>
        </w:rPr>
        <w:lastRenderedPageBreak/>
        <w:t xml:space="preserve">in place to create the new forms and track the required information. As such, the bill is not expected to impact expenditures for the general fund, federal funds, or other funds.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1A9B">
        <w:rPr>
          <w:b/>
        </w:rPr>
        <w:t>State Reve</w:t>
      </w:r>
      <w:r w:rsidRPr="00DE1A9B">
        <w:rPr>
          <w:rFonts w:eastAsiaTheme="minorHAnsi" w:cstheme="minorBidi"/>
          <w:b/>
          <w:bCs/>
          <w:sz w:val="24"/>
          <w:szCs w:val="22"/>
        </w:rPr>
        <w:t>n</w:t>
      </w:r>
      <w:r w:rsidRPr="00DE1A9B">
        <w:rPr>
          <w:b/>
        </w:rPr>
        <w:t>ue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and may provide a maximum of ten rotations.  Each clinical rotation must include a minimum of one hundred sixty hours of instruction, and the preceptor must not otherwise be compensated for providing the instruction. The tax credit applies to tax years 2017 to 2021.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A taxpayer may earn up to four credits for qualifying rotations.  The total amount of credits claimed in a year may not exceed fifty percent of the taxpayer’s liability after all other credits. Additionally, fifty percent of the credit may be claimed in the year earned and the remaining amount claimed in the subsequent tax year.  Any unused credit may be carried over for a maximum of ten tax years.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After earning the maximum credits, the taxpayer may claim a deduction for each additional rotation, up to a maximum of six additional rotations, equal to the credit amount that the rotation would have earned if the taxpayer had not already claimed the maximum amount of credits.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physicians, the amount of the credit varies depending upon the percentage of patients seen by the physician’s practice who are 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Coalition for Increasing Access to Primary Care (CIAPC) includes members from Clemson University, Francis Marion University, Medical University of South Carolina (MUSC), and University of South Carolina (USC). CIAPC provided us with data </w:t>
      </w:r>
      <w:r w:rsidRPr="00DE1A9B">
        <w:rPr>
          <w:rFonts w:eastAsiaTheme="minorHAnsi" w:cstheme="minorBidi"/>
          <w:szCs w:val="22"/>
        </w:rPr>
        <w:lastRenderedPageBreak/>
        <w:t>regarding the number of preceptors for all programs in the state that are expected to qualify for these tax credits in 2017.  The table below includes this data.</w:t>
      </w:r>
    </w:p>
    <w:p w:rsidR="00DE1A9B" w:rsidRPr="00DE1A9B" w:rsidRDefault="00DE1A9B" w:rsidP="00DE1A9B">
      <w:pPr>
        <w:keepNext/>
        <w:tabs>
          <w:tab w:val="left" w:pos="4158"/>
          <w:tab w:val="left" w:pos="5688"/>
          <w:tab w:val="left" w:pos="7668"/>
        </w:tabs>
        <w:ind w:left="115"/>
        <w:rPr>
          <w:rFonts w:cs="Calibri"/>
          <w:bCs/>
          <w:color w:val="000000"/>
          <w:sz w:val="16"/>
          <w:szCs w:val="16"/>
        </w:rPr>
      </w:pPr>
      <w:r w:rsidRPr="00DE1A9B">
        <w:rPr>
          <w:rFonts w:cs="Calibri"/>
          <w:bCs/>
          <w:color w:val="000000"/>
          <w:sz w:val="16"/>
          <w:szCs w:val="16"/>
        </w:rPr>
        <w:t>Preceptors with a Minimum of 2 Required Clinical Rotations per Year</w:t>
      </w:r>
    </w:p>
    <w:p w:rsidR="00DE1A9B" w:rsidRPr="00DE1A9B" w:rsidRDefault="00DE1A9B" w:rsidP="00DE1A9B">
      <w:pPr>
        <w:keepNext/>
        <w:tabs>
          <w:tab w:val="left" w:pos="4158"/>
          <w:tab w:val="left" w:pos="5688"/>
          <w:tab w:val="left" w:pos="7668"/>
        </w:tabs>
        <w:ind w:left="115"/>
        <w:rPr>
          <w:sz w:val="16"/>
          <w:szCs w:val="16"/>
        </w:rPr>
      </w:pPr>
    </w:p>
    <w:p w:rsidR="00DE1A9B" w:rsidRPr="00DE1A9B" w:rsidRDefault="00DE1A9B" w:rsidP="00DE1A9B">
      <w:pPr>
        <w:tabs>
          <w:tab w:val="left" w:pos="3240"/>
          <w:tab w:val="left" w:pos="4680"/>
          <w:tab w:val="left" w:pos="4860"/>
          <w:tab w:val="left" w:pos="5688"/>
          <w:tab w:val="left" w:pos="7668"/>
        </w:tabs>
        <w:ind w:left="115"/>
        <w:rPr>
          <w:sz w:val="16"/>
          <w:szCs w:val="16"/>
        </w:rPr>
      </w:pPr>
      <w:r w:rsidRPr="00DE1A9B">
        <w:rPr>
          <w:bCs/>
          <w:color w:val="000000"/>
          <w:sz w:val="16"/>
          <w:szCs w:val="16"/>
        </w:rPr>
        <w:tab/>
        <w:t>Advanced</w:t>
      </w:r>
      <w:r w:rsidRPr="00DE1A9B">
        <w:rPr>
          <w:bCs/>
          <w:color w:val="000000"/>
          <w:sz w:val="16"/>
          <w:szCs w:val="16"/>
        </w:rPr>
        <w:tab/>
        <w:t>Physician</w:t>
      </w:r>
    </w:p>
    <w:p w:rsidR="00DE1A9B" w:rsidRPr="00DE1A9B" w:rsidRDefault="00DE1A9B" w:rsidP="00DE1A9B">
      <w:pPr>
        <w:tabs>
          <w:tab w:val="left" w:pos="1620"/>
          <w:tab w:val="left" w:pos="2970"/>
          <w:tab w:val="left" w:pos="3330"/>
          <w:tab w:val="left" w:pos="4680"/>
          <w:tab w:val="left" w:pos="4770"/>
          <w:tab w:val="left" w:pos="5688"/>
          <w:tab w:val="left" w:pos="7668"/>
        </w:tabs>
        <w:ind w:left="115"/>
        <w:rPr>
          <w:bCs/>
          <w:color w:val="000000"/>
          <w:sz w:val="16"/>
          <w:szCs w:val="16"/>
        </w:rPr>
      </w:pPr>
      <w:r w:rsidRPr="00DE1A9B">
        <w:rPr>
          <w:sz w:val="16"/>
          <w:szCs w:val="16"/>
        </w:rPr>
        <w:tab/>
      </w:r>
      <w:r w:rsidRPr="00DE1A9B">
        <w:rPr>
          <w:bCs/>
          <w:color w:val="000000"/>
          <w:sz w:val="16"/>
          <w:szCs w:val="16"/>
        </w:rPr>
        <w:t>Physician</w:t>
      </w:r>
      <w:r w:rsidRPr="00DE1A9B">
        <w:rPr>
          <w:bCs/>
          <w:color w:val="000000"/>
          <w:sz w:val="16"/>
          <w:szCs w:val="16"/>
        </w:rPr>
        <w:tab/>
        <w:t>PracticeNurse</w:t>
      </w:r>
      <w:r w:rsidRPr="00DE1A9B">
        <w:rPr>
          <w:bCs/>
          <w:color w:val="000000"/>
          <w:sz w:val="16"/>
          <w:szCs w:val="16"/>
        </w:rPr>
        <w:tab/>
        <w:t>Assistant</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r w:rsidRPr="00DE1A9B">
        <w:rPr>
          <w:bCs/>
          <w:color w:val="000000"/>
          <w:sz w:val="16"/>
          <w:szCs w:val="16"/>
        </w:rPr>
        <w:tab/>
        <w:t>Preceptors</w:t>
      </w:r>
      <w:r w:rsidRPr="00DE1A9B">
        <w:rPr>
          <w:bCs/>
          <w:color w:val="000000"/>
          <w:sz w:val="16"/>
          <w:szCs w:val="16"/>
        </w:rPr>
        <w:tab/>
        <w:t>Preceptors</w:t>
      </w:r>
      <w:r w:rsidRPr="00DE1A9B">
        <w:rPr>
          <w:bCs/>
          <w:color w:val="000000"/>
          <w:sz w:val="16"/>
          <w:szCs w:val="16"/>
        </w:rPr>
        <w:tab/>
        <w:t>Preceptors</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USC College of Med.</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Greenville</w:t>
      </w:r>
      <w:r w:rsidRPr="00DE1A9B">
        <w:rPr>
          <w:bCs/>
          <w:color w:val="000000"/>
          <w:sz w:val="16"/>
          <w:szCs w:val="16"/>
        </w:rPr>
        <w:tab/>
      </w:r>
      <w:r w:rsidRPr="00DE1A9B">
        <w:rPr>
          <w:color w:val="000000"/>
          <w:sz w:val="16"/>
          <w:szCs w:val="16"/>
        </w:rPr>
        <w:t>41</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Clemson</w:t>
      </w:r>
      <w:r w:rsidRPr="00DE1A9B">
        <w:rPr>
          <w:bCs/>
          <w:color w:val="000000"/>
          <w:sz w:val="16"/>
          <w:szCs w:val="16"/>
        </w:rPr>
        <w:tab/>
      </w:r>
      <w:r w:rsidRPr="00DE1A9B">
        <w:rPr>
          <w:color w:val="000000"/>
          <w:sz w:val="16"/>
          <w:szCs w:val="16"/>
        </w:rPr>
        <w:t>75</w:t>
      </w:r>
      <w:r w:rsidRPr="00DE1A9B">
        <w:rPr>
          <w:color w:val="000000"/>
          <w:sz w:val="16"/>
          <w:szCs w:val="16"/>
        </w:rPr>
        <w:tab/>
        <w:t>95</w:t>
      </w:r>
      <w:r w:rsidRPr="00DE1A9B">
        <w:rPr>
          <w:color w:val="000000"/>
          <w:sz w:val="16"/>
          <w:szCs w:val="16"/>
        </w:rPr>
        <w:tab/>
      </w:r>
    </w:p>
    <w:p w:rsidR="00DE1A9B" w:rsidRPr="00DE1A9B" w:rsidRDefault="00DE1A9B" w:rsidP="00DE1A9B">
      <w:pPr>
        <w:tabs>
          <w:tab w:val="left" w:pos="2070"/>
          <w:tab w:val="left" w:pos="3510"/>
          <w:tab w:val="left" w:pos="4950"/>
          <w:tab w:val="left" w:pos="7668"/>
        </w:tabs>
        <w:ind w:left="115"/>
        <w:jc w:val="left"/>
        <w:rPr>
          <w:bCs/>
          <w:color w:val="000000"/>
          <w:sz w:val="16"/>
          <w:szCs w:val="16"/>
        </w:rPr>
      </w:pPr>
      <w:r w:rsidRPr="00DE1A9B">
        <w:rPr>
          <w:bCs/>
          <w:color w:val="000000"/>
          <w:sz w:val="16"/>
          <w:szCs w:val="16"/>
        </w:rPr>
        <w:t>Francis Marion</w:t>
      </w:r>
      <w:r w:rsidRPr="00DE1A9B">
        <w:rPr>
          <w:bCs/>
          <w:color w:val="000000"/>
          <w:sz w:val="16"/>
          <w:szCs w:val="16"/>
        </w:rPr>
        <w:tab/>
        <w:t>66</w:t>
      </w:r>
      <w:r w:rsidRPr="00DE1A9B">
        <w:rPr>
          <w:bCs/>
          <w:color w:val="000000"/>
          <w:sz w:val="16"/>
          <w:szCs w:val="16"/>
        </w:rPr>
        <w:tab/>
        <w:t>46</w:t>
      </w:r>
      <w:r w:rsidRPr="00DE1A9B">
        <w:rPr>
          <w:bCs/>
          <w:color w:val="000000"/>
          <w:sz w:val="16"/>
          <w:szCs w:val="16"/>
        </w:rPr>
        <w:tab/>
        <w:t>32</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1080"/>
          <w:tab w:val="left" w:pos="2070"/>
          <w:tab w:val="left" w:pos="3510"/>
          <w:tab w:val="left" w:pos="4950"/>
          <w:tab w:val="left" w:pos="7668"/>
        </w:tabs>
        <w:ind w:left="115"/>
        <w:jc w:val="left"/>
        <w:rPr>
          <w:color w:val="000000"/>
          <w:sz w:val="16"/>
          <w:szCs w:val="16"/>
        </w:rPr>
      </w:pPr>
      <w:r w:rsidRPr="00DE1A9B">
        <w:rPr>
          <w:bCs/>
          <w:color w:val="000000"/>
          <w:sz w:val="16"/>
          <w:szCs w:val="16"/>
        </w:rPr>
        <w:t>of Med.</w:t>
      </w:r>
      <w:r w:rsidRPr="00DE1A9B">
        <w:rPr>
          <w:bCs/>
          <w:color w:val="000000"/>
          <w:sz w:val="16"/>
          <w:szCs w:val="16"/>
        </w:rPr>
        <w:tab/>
      </w:r>
      <w:r w:rsidRPr="00DE1A9B">
        <w:rPr>
          <w:bCs/>
          <w:color w:val="000000"/>
          <w:sz w:val="16"/>
          <w:szCs w:val="16"/>
        </w:rPr>
        <w:tab/>
        <w:t>90</w:t>
      </w:r>
      <w:r w:rsidRPr="00DE1A9B">
        <w:rPr>
          <w:bCs/>
          <w:color w:val="000000"/>
          <w:sz w:val="16"/>
          <w:szCs w:val="16"/>
        </w:rPr>
        <w:tab/>
        <w:t>0</w:t>
      </w:r>
      <w:r w:rsidRPr="00DE1A9B">
        <w:rPr>
          <w:bCs/>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 xml:space="preserve">of Nursing  </w:t>
      </w:r>
      <w:r w:rsidRPr="00DE1A9B">
        <w:rPr>
          <w:bCs/>
          <w:color w:val="000000"/>
          <w:sz w:val="16"/>
          <w:szCs w:val="16"/>
        </w:rPr>
        <w:tab/>
      </w:r>
      <w:r w:rsidRPr="00DE1A9B">
        <w:rPr>
          <w:color w:val="000000"/>
          <w:sz w:val="16"/>
          <w:szCs w:val="16"/>
        </w:rPr>
        <w:t>150</w:t>
      </w:r>
      <w:r w:rsidRPr="00DE1A9B">
        <w:rPr>
          <w:color w:val="000000"/>
          <w:sz w:val="16"/>
          <w:szCs w:val="16"/>
        </w:rPr>
        <w:tab/>
        <w:t>190</w:t>
      </w:r>
      <w:r w:rsidRPr="00DE1A9B">
        <w:rPr>
          <w:color w:val="000000"/>
          <w:sz w:val="16"/>
          <w:szCs w:val="16"/>
        </w:rPr>
        <w:tab/>
        <w:t>24</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of </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Health </w:t>
      </w:r>
    </w:p>
    <w:p w:rsidR="00DE1A9B" w:rsidRPr="00DE1A9B" w:rsidRDefault="00DE1A9B" w:rsidP="00DE1A9B">
      <w:pPr>
        <w:tabs>
          <w:tab w:val="left" w:pos="1530"/>
          <w:tab w:val="left" w:pos="2070"/>
          <w:tab w:val="left" w:pos="3510"/>
          <w:tab w:val="left" w:pos="4950"/>
          <w:tab w:val="left" w:pos="7668"/>
        </w:tabs>
        <w:ind w:left="115"/>
        <w:jc w:val="left"/>
        <w:rPr>
          <w:color w:val="000000"/>
          <w:sz w:val="16"/>
          <w:szCs w:val="16"/>
        </w:rPr>
      </w:pPr>
      <w:r w:rsidRPr="00DE1A9B">
        <w:rPr>
          <w:bCs/>
          <w:color w:val="000000"/>
          <w:sz w:val="16"/>
          <w:szCs w:val="16"/>
        </w:rPr>
        <w:t>Professions(PA)</w:t>
      </w:r>
      <w:r w:rsidRPr="00DE1A9B">
        <w:rPr>
          <w:bCs/>
          <w:color w:val="000000"/>
          <w:sz w:val="16"/>
          <w:szCs w:val="16"/>
        </w:rPr>
        <w:tab/>
      </w:r>
      <w:r w:rsidRPr="00DE1A9B">
        <w:rPr>
          <w:color w:val="000000"/>
          <w:sz w:val="16"/>
          <w:szCs w:val="16"/>
        </w:rPr>
        <w:t>70</w:t>
      </w:r>
      <w:r w:rsidRPr="00DE1A9B">
        <w:rPr>
          <w:color w:val="000000"/>
          <w:sz w:val="16"/>
          <w:szCs w:val="16"/>
        </w:rPr>
        <w:tab/>
        <w:t>3</w:t>
      </w:r>
      <w:r w:rsidRPr="00DE1A9B">
        <w:rPr>
          <w:color w:val="000000"/>
          <w:sz w:val="16"/>
          <w:szCs w:val="16"/>
        </w:rPr>
        <w:tab/>
        <w:t>25</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2160"/>
          <w:tab w:val="left" w:pos="3600"/>
          <w:tab w:val="left" w:pos="3960"/>
          <w:tab w:val="left" w:pos="7668"/>
        </w:tabs>
        <w:ind w:left="115"/>
        <w:jc w:val="left"/>
        <w:rPr>
          <w:bCs/>
          <w:color w:val="000000"/>
          <w:sz w:val="16"/>
          <w:szCs w:val="16"/>
        </w:rPr>
      </w:pPr>
      <w:r w:rsidRPr="00DE1A9B">
        <w:rPr>
          <w:bCs/>
          <w:color w:val="000000"/>
          <w:sz w:val="16"/>
          <w:szCs w:val="16"/>
        </w:rPr>
        <w:t xml:space="preserve">of Medicine </w:t>
      </w:r>
    </w:p>
    <w:p w:rsidR="00DE1A9B" w:rsidRPr="00DE1A9B" w:rsidRDefault="00DE1A9B" w:rsidP="00DE1A9B">
      <w:pPr>
        <w:tabs>
          <w:tab w:val="left" w:pos="2070"/>
          <w:tab w:val="left" w:pos="2160"/>
          <w:tab w:val="left" w:pos="3600"/>
          <w:tab w:val="left" w:pos="4950"/>
          <w:tab w:val="left" w:pos="7668"/>
        </w:tabs>
        <w:ind w:left="115"/>
        <w:jc w:val="left"/>
        <w:rPr>
          <w:color w:val="000000"/>
          <w:sz w:val="16"/>
          <w:szCs w:val="16"/>
        </w:rPr>
      </w:pPr>
      <w:r w:rsidRPr="00DE1A9B">
        <w:rPr>
          <w:bCs/>
          <w:color w:val="000000"/>
          <w:sz w:val="16"/>
          <w:szCs w:val="16"/>
        </w:rPr>
        <w:t>Columbia</w:t>
      </w:r>
      <w:r w:rsidRPr="00DE1A9B">
        <w:rPr>
          <w:bCs/>
          <w:color w:val="000000"/>
          <w:sz w:val="16"/>
          <w:szCs w:val="16"/>
        </w:rPr>
        <w:tab/>
      </w:r>
      <w:r w:rsidRPr="00DE1A9B">
        <w:rPr>
          <w:color w:val="000000"/>
          <w:sz w:val="16"/>
          <w:szCs w:val="16"/>
        </w:rPr>
        <w:t>50</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of Nursing</w:t>
      </w:r>
      <w:r w:rsidRPr="00DE1A9B">
        <w:rPr>
          <w:bCs/>
          <w:color w:val="000000"/>
          <w:sz w:val="16"/>
          <w:szCs w:val="16"/>
        </w:rPr>
        <w:tab/>
      </w:r>
      <w:r w:rsidRPr="00DE1A9B">
        <w:rPr>
          <w:color w:val="000000"/>
          <w:sz w:val="16"/>
          <w:szCs w:val="16"/>
        </w:rPr>
        <w:t>150</w:t>
      </w:r>
      <w:r w:rsidRPr="00DE1A9B">
        <w:rPr>
          <w:color w:val="000000"/>
          <w:sz w:val="16"/>
          <w:szCs w:val="16"/>
        </w:rPr>
        <w:tab/>
        <w:t>202</w:t>
      </w:r>
      <w:r w:rsidRPr="00DE1A9B">
        <w:rPr>
          <w:color w:val="000000"/>
          <w:sz w:val="16"/>
          <w:szCs w:val="16"/>
        </w:rPr>
        <w:tab/>
        <w:t>8</w:t>
      </w:r>
    </w:p>
    <w:p w:rsidR="00DE1A9B" w:rsidRPr="00DE1A9B" w:rsidRDefault="00DE1A9B" w:rsidP="00DE1A9B">
      <w:pPr>
        <w:tabs>
          <w:tab w:val="left" w:pos="4158"/>
          <w:tab w:val="left" w:pos="5688"/>
          <w:tab w:val="left" w:pos="7668"/>
        </w:tabs>
        <w:ind w:left="115"/>
        <w:jc w:val="left"/>
        <w:rPr>
          <w:sz w:val="16"/>
          <w:szCs w:val="16"/>
        </w:rPr>
      </w:pPr>
      <w:r w:rsidRPr="00DE1A9B">
        <w:rPr>
          <w:color w:val="000000"/>
          <w:sz w:val="16"/>
          <w:szCs w:val="16"/>
        </w:rPr>
        <w:tab/>
      </w:r>
      <w:r w:rsidRPr="00DE1A9B">
        <w:rPr>
          <w:sz w:val="16"/>
          <w:szCs w:val="16"/>
        </w:rPr>
        <w:tab/>
      </w:r>
      <w:r w:rsidRPr="00DE1A9B">
        <w:rPr>
          <w:sz w:val="16"/>
          <w:szCs w:val="16"/>
        </w:rPr>
        <w:tab/>
      </w:r>
    </w:p>
    <w:p w:rsidR="00DE1A9B" w:rsidRPr="00DE1A9B" w:rsidRDefault="00DE1A9B" w:rsidP="00DE1A9B">
      <w:pPr>
        <w:tabs>
          <w:tab w:val="left" w:pos="2070"/>
          <w:tab w:val="left" w:pos="2340"/>
          <w:tab w:val="left" w:pos="3510"/>
          <w:tab w:val="left" w:pos="4950"/>
          <w:tab w:val="left" w:pos="7668"/>
        </w:tabs>
        <w:ind w:left="115"/>
        <w:jc w:val="left"/>
        <w:rPr>
          <w:color w:val="000000"/>
          <w:sz w:val="16"/>
          <w:szCs w:val="16"/>
        </w:rPr>
      </w:pPr>
      <w:r w:rsidRPr="00DE1A9B">
        <w:rPr>
          <w:bCs/>
          <w:color w:val="000000"/>
          <w:sz w:val="16"/>
          <w:szCs w:val="16"/>
        </w:rPr>
        <w:t>Total</w:t>
      </w:r>
      <w:r w:rsidRPr="00DE1A9B">
        <w:rPr>
          <w:bCs/>
          <w:color w:val="000000"/>
          <w:sz w:val="16"/>
          <w:szCs w:val="16"/>
        </w:rPr>
        <w:tab/>
      </w:r>
      <w:r w:rsidRPr="00DE1A9B">
        <w:rPr>
          <w:color w:val="000000"/>
          <w:sz w:val="16"/>
          <w:szCs w:val="16"/>
        </w:rPr>
        <w:t>576</w:t>
      </w:r>
      <w:r w:rsidRPr="00DE1A9B">
        <w:rPr>
          <w:color w:val="000000"/>
          <w:sz w:val="16"/>
          <w:szCs w:val="16"/>
        </w:rPr>
        <w:tab/>
      </w:r>
      <w:r w:rsidRPr="00DE1A9B">
        <w:rPr>
          <w:color w:val="000000"/>
          <w:sz w:val="16"/>
          <w:szCs w:val="16"/>
        </w:rPr>
        <w:tab/>
        <w:t>536</w:t>
      </w:r>
      <w:r w:rsidRPr="00DE1A9B">
        <w:rPr>
          <w:color w:val="000000"/>
          <w:sz w:val="16"/>
          <w:szCs w:val="16"/>
        </w:rPr>
        <w:tab/>
        <w:t>89</w:t>
      </w:r>
    </w:p>
    <w:p w:rsidR="00DE1A9B" w:rsidRPr="00DE1A9B" w:rsidRDefault="00DE1A9B" w:rsidP="00DE1A9B">
      <w:pPr>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Calibri"/>
          <w:bCs/>
          <w:color w:val="000000"/>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In order to determine the estimated distribution of Medicaid insured, Medicare insured, and self-pay patients, we used a national study by the Kaiser Family Foundation, </w:t>
      </w:r>
      <w:r w:rsidRPr="00DE1A9B">
        <w:rPr>
          <w:rFonts w:eastAsiaTheme="minorHAnsi" w:cstheme="minorBidi"/>
          <w:i/>
          <w:szCs w:val="22"/>
        </w:rPr>
        <w:t>Primary Care Physicians Accepting Medicare: A Snapshot</w:t>
      </w:r>
      <w:r w:rsidRPr="00DE1A9B">
        <w:rPr>
          <w:rFonts w:eastAsiaTheme="minorHAnsi" w:cstheme="minorBidi"/>
          <w:szCs w:val="22"/>
        </w:rPr>
        <w:t xml:space="preserve"> from October 30, 2015.  This study surveyed 1,257 non-pediatric primary care physicians accepting new and current Medicare patients.  The survey found that 25 percent of practices consist of less than 25 percent Medicare patients, 41 percent consist of 25 to 49 percent Medicare patients, and 32 percent are 50 percent or more Medicare patients, with 2 percent not reporting.  Based upon these figures, we would estimate 32 percent of practices would fall under 30 percent Medicare, 35 percent would be 30 to 49 percent Medicare, and 33 percent are 50 percent or more Medicare patients, distributing the non-reporting 2 across the categories.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i/>
          <w:szCs w:val="22"/>
        </w:rPr>
      </w:pPr>
      <w:r w:rsidRPr="00DE1A9B">
        <w:rPr>
          <w:rFonts w:eastAsiaTheme="minorHAnsi" w:cstheme="minorBidi"/>
          <w:szCs w:val="22"/>
        </w:rPr>
        <w:tab/>
        <w:t xml:space="preserve">Further, the Kaiser Family Foundation reports in </w:t>
      </w:r>
      <w:r w:rsidRPr="00DE1A9B">
        <w:rPr>
          <w:rFonts w:eastAsiaTheme="minorHAnsi" w:cstheme="minorBidi"/>
          <w:i/>
          <w:szCs w:val="22"/>
        </w:rPr>
        <w:t>Health Insurance Coverage of the Total Population, 2015</w:t>
      </w:r>
      <w:r w:rsidRPr="00DE1A9B">
        <w:rPr>
          <w:rFonts w:eastAsiaTheme="minorHAnsi" w:cstheme="minorBidi"/>
          <w:szCs w:val="22"/>
        </w:rPr>
        <w:t xml:space="preserve">, Medicaid, Medicare, and uninsured patients compose 43 percent of the population nationally, whereas they compose 46 percent of South Carolina’s population. As such, we have further adjusted the distribution of practices to reflect the higher concentration of </w:t>
      </w:r>
      <w:r w:rsidRPr="00DE1A9B">
        <w:rPr>
          <w:rFonts w:eastAsiaTheme="minorHAnsi" w:cstheme="minorBidi"/>
          <w:szCs w:val="22"/>
        </w:rPr>
        <w:lastRenderedPageBreak/>
        <w:t xml:space="preserve">Medicaid, Medicare, and uninsured patients in South Carolina compared to the nation.  With this adjustment, we would estimate 27 percent of practices would fall under 30 percent Medicare, 38 percent would be 30 to 49 percent Medicare, and 36 percent are 50 percent or more Medicare patients, distributing the non-reporting 2 across the categories.  While these figures are specific to Medicare, a study by the Centers for Disease Control and Prevention, </w:t>
      </w:r>
      <w:r w:rsidRPr="00DE1A9B">
        <w:rPr>
          <w:rFonts w:eastAsiaTheme="minorHAnsi" w:cstheme="minorBidi"/>
          <w:i/>
          <w:szCs w:val="22"/>
        </w:rPr>
        <w:t xml:space="preserve">Acceptance of New Patients with Public and Private Insurance by Office-based Physicians: United States, 2013, </w:t>
      </w:r>
      <w:r w:rsidRPr="00DE1A9B">
        <w:rPr>
          <w:rFonts w:eastAsiaTheme="minorHAnsi" w:cstheme="minorBidi"/>
          <w:szCs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We then applied this distribution to the numbers of preceptors provided by CIAPC. Preceptors must provide at least two rotations and are allowed a maximum of ten rotations under this proposal. However, the maximum number of rotations that qualifying programs offer is five rotations, so our analysis is based upon five rotations per preceptor.  Taxpayers providing the maximum number of rotations would earn a credit for the first four rotations and a deduction for the fifth rotation.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credits must be claimed fifty percent in the year earned and fifty percent in the following year.  We assume that these taxpayers have higher income tax liabilities than average and will have sufficient taxable income to utilize all allowable credits.  However, taxpayers may not reduce their tax liability by more than fifty percent in a given year.  To the extent that a taxpayer’s liability after all credits and the additional deduction is insufficient to claim the total allowable credits under the fifty percent threshold, the impact in a particular tax year may be reduced slightly and carried forward to the following tax year.  In total, the bill is expected to reduce general fund income tax revenue by up to $1,299,000 in FY 2017-18 and $2,564,000 each year through FY 2021-22 when the credit ends.  The reduction decreases to $1,265,000 in FY 2022-23 for the remaining fifty percent of credits earned in tax year 2021.</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lastRenderedPageBreak/>
        <w:t>Percentage of Patients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on Medicaid, Medicare, or</w:t>
      </w:r>
      <w:r w:rsidRPr="00DE1A9B">
        <w:rPr>
          <w:rFonts w:eastAsia="Calibri"/>
          <w:sz w:val="18"/>
          <w:szCs w:val="18"/>
        </w:rPr>
        <w:tab/>
      </w:r>
      <w:r w:rsidRPr="00DE1A9B">
        <w:rPr>
          <w:rFonts w:eastAsia="Calibri"/>
          <w:sz w:val="18"/>
          <w:szCs w:val="18"/>
        </w:rPr>
        <w:tab/>
        <w:t>0%-29%</w:t>
      </w:r>
      <w:r w:rsidRPr="00DE1A9B">
        <w:rPr>
          <w:rFonts w:eastAsia="Calibri"/>
          <w:sz w:val="18"/>
          <w:szCs w:val="18"/>
        </w:rPr>
        <w:tab/>
      </w:r>
      <w:r w:rsidRPr="00DE1A9B">
        <w:rPr>
          <w:rFonts w:eastAsia="Calibri"/>
          <w:sz w:val="18"/>
          <w:szCs w:val="18"/>
        </w:rPr>
        <w:tab/>
        <w:t>30%-49%</w:t>
      </w:r>
      <w:r w:rsidRPr="00DE1A9B">
        <w:rPr>
          <w:rFonts w:eastAsia="Calibri"/>
          <w:sz w:val="18"/>
          <w:szCs w:val="18"/>
        </w:rPr>
        <w:tab/>
      </w:r>
      <w:r w:rsidRPr="00DE1A9B">
        <w:rPr>
          <w:rFonts w:eastAsia="Calibri"/>
          <w:sz w:val="18"/>
          <w:szCs w:val="18"/>
        </w:rPr>
        <w:tab/>
        <w:t>50%-100%</w:t>
      </w:r>
      <w:r w:rsidRPr="00DE1A9B">
        <w:rPr>
          <w:rFonts w:eastAsia="Calibri"/>
          <w:sz w:val="18"/>
          <w:szCs w:val="18"/>
        </w:rPr>
        <w:tab/>
      </w:r>
      <w:r w:rsidRPr="00DE1A9B">
        <w:rPr>
          <w:rFonts w:eastAsia="Calibri"/>
          <w:sz w:val="18"/>
          <w:szCs w:val="18"/>
        </w:rPr>
        <w:tab/>
        <w:t xml:space="preserve">Total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Self-pay</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Estimated Percentage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Practices  in SC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29%</w:t>
      </w:r>
      <w:r w:rsidRPr="00DE1A9B">
        <w:rPr>
          <w:rFonts w:eastAsia="Calibri"/>
          <w:sz w:val="18"/>
          <w:szCs w:val="18"/>
        </w:rPr>
        <w:tab/>
      </w:r>
      <w:r w:rsidRPr="00DE1A9B">
        <w:rPr>
          <w:rFonts w:eastAsia="Calibri"/>
          <w:sz w:val="18"/>
          <w:szCs w:val="18"/>
        </w:rPr>
        <w:tab/>
      </w:r>
      <w:r w:rsidRPr="00DE1A9B">
        <w:rPr>
          <w:rFonts w:eastAsia="Calibri"/>
          <w:sz w:val="18"/>
          <w:szCs w:val="18"/>
        </w:rPr>
        <w:tab/>
        <w:t>37%</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35%</w:t>
      </w:r>
      <w:r w:rsidRPr="00DE1A9B">
        <w:rPr>
          <w:rFonts w:eastAsia="Calibri"/>
          <w:sz w:val="18"/>
          <w:szCs w:val="18"/>
        </w:rPr>
        <w:tab/>
      </w:r>
      <w:r w:rsidRPr="00DE1A9B">
        <w:rPr>
          <w:rFonts w:eastAsia="Calibri"/>
          <w:sz w:val="18"/>
          <w:szCs w:val="18"/>
        </w:rPr>
        <w:tab/>
      </w:r>
      <w:r w:rsidRPr="00DE1A9B">
        <w:rPr>
          <w:rFonts w:eastAsia="Calibri"/>
          <w:sz w:val="18"/>
          <w:szCs w:val="18"/>
        </w:rPr>
        <w:tab/>
        <w:t>100%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Physician</w:t>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167</w:t>
      </w:r>
      <w:r w:rsidRPr="00DE1A9B">
        <w:rPr>
          <w:rFonts w:eastAsia="Calibri"/>
          <w:sz w:val="18"/>
          <w:szCs w:val="18"/>
        </w:rPr>
        <w:tab/>
      </w:r>
      <w:r w:rsidRPr="00DE1A9B">
        <w:rPr>
          <w:rFonts w:eastAsia="Calibri"/>
          <w:sz w:val="18"/>
          <w:szCs w:val="18"/>
        </w:rPr>
        <w:tab/>
      </w:r>
      <w:r w:rsidRPr="00DE1A9B">
        <w:rPr>
          <w:rFonts w:eastAsia="Calibri"/>
          <w:sz w:val="18"/>
          <w:szCs w:val="18"/>
        </w:rPr>
        <w:tab/>
        <w:t>210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576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4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per Preceptor</w:t>
      </w:r>
      <w:r w:rsidRPr="00DE1A9B">
        <w:rPr>
          <w:rFonts w:eastAsia="Calibri"/>
          <w:sz w:val="18"/>
          <w:szCs w:val="18"/>
        </w:rPr>
        <w:tab/>
      </w:r>
      <w:r w:rsidRPr="00DE1A9B">
        <w:rPr>
          <w:rFonts w:eastAsia="Calibri"/>
          <w:sz w:val="18"/>
          <w:szCs w:val="18"/>
        </w:rPr>
        <w:tab/>
        <w:t>835</w:t>
      </w:r>
      <w:r w:rsidRPr="00DE1A9B">
        <w:rPr>
          <w:rFonts w:eastAsia="Calibri"/>
          <w:sz w:val="18"/>
          <w:szCs w:val="18"/>
        </w:rPr>
        <w:tab/>
      </w:r>
      <w:r w:rsidRPr="00DE1A9B">
        <w:rPr>
          <w:rFonts w:eastAsia="Calibri"/>
          <w:sz w:val="18"/>
          <w:szCs w:val="18"/>
        </w:rPr>
        <w:tab/>
      </w:r>
      <w:r w:rsidRPr="00DE1A9B">
        <w:rPr>
          <w:rFonts w:eastAsia="Calibri"/>
          <w:sz w:val="18"/>
          <w:szCs w:val="18"/>
        </w:rPr>
        <w:tab/>
        <w:t>841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795</w:t>
      </w:r>
      <w:r w:rsidRPr="00DE1A9B">
        <w:rPr>
          <w:rFonts w:eastAsia="Calibri"/>
          <w:sz w:val="18"/>
          <w:szCs w:val="18"/>
        </w:rPr>
        <w:tab/>
      </w:r>
      <w:r w:rsidRPr="00DE1A9B">
        <w:rPr>
          <w:rFonts w:eastAsia="Calibri"/>
          <w:sz w:val="18"/>
          <w:szCs w:val="18"/>
        </w:rPr>
        <w:tab/>
      </w:r>
      <w:r w:rsidRPr="00DE1A9B">
        <w:rPr>
          <w:rFonts w:eastAsia="Calibri"/>
          <w:sz w:val="18"/>
          <w:szCs w:val="18"/>
        </w:rPr>
        <w:tab/>
        <w:t>2,471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$630,720</w:t>
      </w:r>
      <w:r w:rsidRPr="00DE1A9B">
        <w:rPr>
          <w:rFonts w:eastAsia="Calibri"/>
          <w:sz w:val="18"/>
          <w:szCs w:val="18"/>
        </w:rPr>
        <w:tab/>
        <w:t>$794,880</w:t>
      </w:r>
      <w:r w:rsidRPr="00DE1A9B">
        <w:rPr>
          <w:rFonts w:eastAsia="Calibri"/>
          <w:sz w:val="18"/>
          <w:szCs w:val="18"/>
        </w:rPr>
        <w:tab/>
        <w:t>$1,425,600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167</w:t>
      </w:r>
      <w:r w:rsidRPr="00DE1A9B">
        <w:rPr>
          <w:rFonts w:eastAsia="Calibri"/>
          <w:sz w:val="18"/>
          <w:szCs w:val="18"/>
        </w:rPr>
        <w:tab/>
      </w:r>
      <w:r w:rsidRPr="00DE1A9B">
        <w:rPr>
          <w:rFonts w:eastAsia="Calibri"/>
          <w:sz w:val="18"/>
          <w:szCs w:val="18"/>
        </w:rPr>
        <w:tab/>
      </w:r>
      <w:r w:rsidRPr="00DE1A9B">
        <w:rPr>
          <w:rFonts w:eastAsia="Calibri"/>
          <w:sz w:val="18"/>
          <w:szCs w:val="18"/>
        </w:rPr>
        <w:tab/>
        <w:t>210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409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$157,680</w:t>
      </w:r>
      <w:r w:rsidRPr="00DE1A9B">
        <w:rPr>
          <w:rFonts w:eastAsia="Calibri"/>
          <w:sz w:val="18"/>
          <w:szCs w:val="18"/>
        </w:rPr>
        <w:tab/>
      </w:r>
      <w:r w:rsidRPr="00DE1A9B">
        <w:rPr>
          <w:rFonts w:eastAsia="Calibri"/>
          <w:sz w:val="18"/>
          <w:szCs w:val="18"/>
        </w:rPr>
        <w:tab/>
        <w:t>$198,720</w:t>
      </w:r>
      <w:r w:rsidRPr="00DE1A9B">
        <w:rPr>
          <w:rFonts w:eastAsia="Calibri"/>
          <w:sz w:val="18"/>
          <w:szCs w:val="18"/>
        </w:rPr>
        <w:tab/>
      </w:r>
      <w:r w:rsidRPr="00DE1A9B">
        <w:rPr>
          <w:rFonts w:eastAsia="Calibri"/>
          <w:sz w:val="18"/>
          <w:szCs w:val="18"/>
        </w:rPr>
        <w:tab/>
        <w:t>$356,400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Reduction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at 5.4% Tax Rate</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$8,515</w:t>
      </w:r>
      <w:r w:rsidRPr="00DE1A9B">
        <w:rPr>
          <w:rFonts w:eastAsia="Calibri"/>
          <w:sz w:val="18"/>
          <w:szCs w:val="18"/>
        </w:rPr>
        <w:tab/>
      </w:r>
      <w:r w:rsidRPr="00DE1A9B">
        <w:rPr>
          <w:rFonts w:eastAsia="Calibri"/>
          <w:sz w:val="18"/>
          <w:szCs w:val="18"/>
        </w:rPr>
        <w:tab/>
        <w:t>$10,731</w:t>
      </w:r>
      <w:r w:rsidRPr="00DE1A9B">
        <w:rPr>
          <w:rFonts w:eastAsia="Calibri"/>
          <w:sz w:val="18"/>
          <w:szCs w:val="18"/>
        </w:rPr>
        <w:tab/>
      </w:r>
      <w:r w:rsidRPr="00DE1A9B">
        <w:rPr>
          <w:rFonts w:eastAsia="Calibri"/>
          <w:sz w:val="18"/>
          <w:szCs w:val="18"/>
        </w:rPr>
        <w:tab/>
      </w:r>
      <w:r w:rsidRPr="00DE1A9B">
        <w:rPr>
          <w:rFonts w:eastAsia="Calibri"/>
          <w:sz w:val="18"/>
          <w:szCs w:val="18"/>
        </w:rPr>
        <w:tab/>
        <w:t>$19,246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Advanced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Practice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Nurse</w:t>
      </w:r>
      <w:r w:rsidRPr="00DE1A9B">
        <w:rPr>
          <w:rFonts w:eastAsia="Calibri"/>
          <w:sz w:val="18"/>
          <w:szCs w:val="18"/>
        </w:rPr>
        <w:tab/>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Number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155</w:t>
      </w:r>
      <w:r w:rsidRPr="00DE1A9B">
        <w:rPr>
          <w:rFonts w:eastAsia="Calibri"/>
          <w:sz w:val="18"/>
          <w:szCs w:val="18"/>
        </w:rPr>
        <w:tab/>
      </w:r>
      <w:r w:rsidRPr="00DE1A9B">
        <w:rPr>
          <w:rFonts w:eastAsia="Calibri"/>
          <w:sz w:val="18"/>
          <w:szCs w:val="18"/>
        </w:rPr>
        <w:tab/>
        <w:t>196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185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536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 per Preceptor</w:t>
      </w:r>
      <w:r w:rsidRPr="00DE1A9B">
        <w:rPr>
          <w:rFonts w:eastAsia="Calibri"/>
          <w:sz w:val="18"/>
          <w:szCs w:val="18"/>
        </w:rPr>
        <w:tab/>
        <w:t>777</w:t>
      </w:r>
      <w:r w:rsidRPr="00DE1A9B">
        <w:rPr>
          <w:rFonts w:eastAsia="Calibri"/>
          <w:sz w:val="18"/>
          <w:szCs w:val="18"/>
        </w:rPr>
        <w:tab/>
      </w:r>
      <w:r w:rsidRPr="00DE1A9B">
        <w:rPr>
          <w:rFonts w:eastAsia="Calibri"/>
          <w:sz w:val="18"/>
          <w:szCs w:val="18"/>
        </w:rPr>
        <w:tab/>
        <w:t>783</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2,299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$391,280</w:t>
      </w:r>
      <w:r w:rsidRPr="00DE1A9B">
        <w:rPr>
          <w:rFonts w:eastAsia="Calibri"/>
          <w:sz w:val="18"/>
          <w:szCs w:val="18"/>
        </w:rPr>
        <w:tab/>
      </w:r>
      <w:r w:rsidRPr="00DE1A9B">
        <w:rPr>
          <w:rFonts w:eastAsia="Calibri"/>
          <w:sz w:val="18"/>
          <w:szCs w:val="18"/>
        </w:rPr>
        <w:tab/>
        <w:t>$554,760</w:t>
      </w:r>
      <w:r w:rsidRPr="00DE1A9B">
        <w:rPr>
          <w:rFonts w:eastAsia="Calibri"/>
          <w:sz w:val="18"/>
          <w:szCs w:val="18"/>
        </w:rPr>
        <w:tab/>
      </w:r>
      <w:r w:rsidRPr="00DE1A9B">
        <w:rPr>
          <w:rFonts w:eastAsia="Calibri"/>
          <w:sz w:val="18"/>
          <w:szCs w:val="18"/>
        </w:rPr>
        <w:tab/>
        <w:t>$946,040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155</w:t>
      </w:r>
      <w:r w:rsidRPr="00DE1A9B">
        <w:rPr>
          <w:rFonts w:eastAsia="Calibri"/>
          <w:sz w:val="18"/>
          <w:szCs w:val="18"/>
        </w:rPr>
        <w:tab/>
      </w:r>
      <w:r w:rsidRPr="00DE1A9B">
        <w:rPr>
          <w:rFonts w:eastAsia="Calibri"/>
          <w:sz w:val="18"/>
          <w:szCs w:val="18"/>
        </w:rPr>
        <w:tab/>
        <w:t>196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185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381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$97,820</w:t>
      </w:r>
      <w:r w:rsidRPr="00DE1A9B">
        <w:rPr>
          <w:rFonts w:eastAsia="Calibri"/>
          <w:sz w:val="18"/>
          <w:szCs w:val="18"/>
        </w:rPr>
        <w:tab/>
      </w:r>
      <w:r w:rsidRPr="00DE1A9B">
        <w:rPr>
          <w:rFonts w:eastAsia="Calibri"/>
          <w:sz w:val="18"/>
          <w:szCs w:val="18"/>
        </w:rPr>
        <w:tab/>
      </w:r>
      <w:r w:rsidRPr="00DE1A9B">
        <w:rPr>
          <w:rFonts w:eastAsia="Calibri"/>
          <w:sz w:val="18"/>
          <w:szCs w:val="18"/>
        </w:rPr>
        <w:tab/>
        <w:t>$138,690</w:t>
      </w:r>
      <w:r w:rsidRPr="00DE1A9B">
        <w:rPr>
          <w:rFonts w:eastAsia="Calibri"/>
          <w:sz w:val="18"/>
          <w:szCs w:val="18"/>
        </w:rPr>
        <w:tab/>
      </w:r>
      <w:r w:rsidRPr="00DE1A9B">
        <w:rPr>
          <w:rFonts w:eastAsia="Calibri"/>
          <w:sz w:val="18"/>
          <w:szCs w:val="18"/>
        </w:rPr>
        <w:tab/>
        <w:t>$236,510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Reduction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at 5.4% Tax Rate</w:t>
      </w:r>
      <w:r w:rsidRPr="00DE1A9B">
        <w:rPr>
          <w:rFonts w:eastAsia="Calibri"/>
          <w:sz w:val="18"/>
          <w:szCs w:val="18"/>
        </w:rPr>
        <w:tab/>
        <w:t>$0</w:t>
      </w:r>
      <w:r w:rsidRPr="00DE1A9B">
        <w:rPr>
          <w:rFonts w:eastAsia="Calibri"/>
          <w:sz w:val="18"/>
          <w:szCs w:val="18"/>
        </w:rPr>
        <w:tab/>
      </w:r>
      <w:r w:rsidRPr="00DE1A9B">
        <w:rPr>
          <w:rFonts w:eastAsia="Calibri"/>
          <w:sz w:val="18"/>
          <w:szCs w:val="18"/>
        </w:rPr>
        <w:tab/>
        <w:t>$5,282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$7,489</w:t>
      </w:r>
      <w:r w:rsidRPr="00DE1A9B">
        <w:rPr>
          <w:rFonts w:eastAsia="Calibri"/>
          <w:sz w:val="18"/>
          <w:szCs w:val="18"/>
        </w:rPr>
        <w:tab/>
      </w:r>
      <w:r w:rsidRPr="00DE1A9B">
        <w:rPr>
          <w:rFonts w:eastAsia="Calibri"/>
          <w:sz w:val="18"/>
          <w:szCs w:val="18"/>
        </w:rPr>
        <w:tab/>
        <w:t>$12,772</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Physician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Assistant</w:t>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26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89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 per Preceptor</w:t>
      </w:r>
      <w:r w:rsidRPr="00DE1A9B">
        <w:rPr>
          <w:rFonts w:eastAsia="Calibri"/>
          <w:sz w:val="18"/>
          <w:szCs w:val="18"/>
        </w:rPr>
        <w:tab/>
        <w:t>129</w:t>
      </w:r>
      <w:r w:rsidRPr="00DE1A9B">
        <w:rPr>
          <w:rFonts w:eastAsia="Calibri"/>
          <w:sz w:val="18"/>
          <w:szCs w:val="18"/>
        </w:rPr>
        <w:tab/>
      </w:r>
      <w:r w:rsidRPr="00DE1A9B">
        <w:rPr>
          <w:rFonts w:eastAsia="Calibri"/>
          <w:sz w:val="18"/>
          <w:szCs w:val="18"/>
        </w:rPr>
        <w:tab/>
        <w:t>130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123</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382</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$64,970</w:t>
      </w:r>
      <w:r w:rsidRPr="00DE1A9B">
        <w:rPr>
          <w:rFonts w:eastAsia="Calibri"/>
          <w:sz w:val="18"/>
          <w:szCs w:val="18"/>
        </w:rPr>
        <w:tab/>
      </w:r>
      <w:r w:rsidRPr="00DE1A9B">
        <w:rPr>
          <w:rFonts w:eastAsia="Calibri"/>
          <w:sz w:val="18"/>
          <w:szCs w:val="18"/>
        </w:rPr>
        <w:tab/>
      </w:r>
      <w:r w:rsidRPr="00DE1A9B">
        <w:rPr>
          <w:rFonts w:eastAsia="Calibri"/>
          <w:sz w:val="18"/>
          <w:szCs w:val="18"/>
        </w:rPr>
        <w:tab/>
        <w:t>$92,115</w:t>
      </w:r>
      <w:r w:rsidRPr="00DE1A9B">
        <w:rPr>
          <w:rFonts w:eastAsia="Calibri"/>
          <w:sz w:val="18"/>
          <w:szCs w:val="18"/>
        </w:rPr>
        <w:tab/>
      </w:r>
      <w:r w:rsidRPr="00DE1A9B">
        <w:rPr>
          <w:rFonts w:eastAsia="Calibri"/>
          <w:sz w:val="18"/>
          <w:szCs w:val="18"/>
        </w:rPr>
        <w:tab/>
      </w:r>
      <w:r w:rsidRPr="00DE1A9B">
        <w:rPr>
          <w:rFonts w:eastAsia="Calibri"/>
          <w:sz w:val="18"/>
          <w:szCs w:val="18"/>
        </w:rPr>
        <w:tab/>
        <w:t>$157,085</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26</w:t>
      </w:r>
      <w:r w:rsidRPr="00DE1A9B">
        <w:rPr>
          <w:rFonts w:eastAsia="Calibri"/>
          <w:sz w:val="18"/>
          <w:szCs w:val="18"/>
        </w:rPr>
        <w:tab/>
      </w:r>
      <w:r w:rsidRPr="00DE1A9B">
        <w:rPr>
          <w:rFonts w:eastAsia="Calibri"/>
          <w:sz w:val="18"/>
          <w:szCs w:val="18"/>
        </w:rPr>
        <w:tab/>
      </w:r>
      <w:r w:rsidRPr="00DE1A9B">
        <w:rPr>
          <w:rFonts w:eastAsia="Calibri"/>
          <w:sz w:val="18"/>
          <w:szCs w:val="18"/>
        </w:rPr>
        <w:tab/>
        <w:t>32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63</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$16,243</w:t>
      </w:r>
      <w:r w:rsidRPr="00DE1A9B">
        <w:rPr>
          <w:rFonts w:eastAsia="Calibri"/>
          <w:sz w:val="18"/>
          <w:szCs w:val="18"/>
        </w:rPr>
        <w:tab/>
      </w:r>
      <w:r w:rsidRPr="00DE1A9B">
        <w:rPr>
          <w:rFonts w:eastAsia="Calibri"/>
          <w:sz w:val="18"/>
          <w:szCs w:val="18"/>
        </w:rPr>
        <w:tab/>
        <w:t>$23,029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$39,271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Reduction at 5.4%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Rate</w:t>
      </w:r>
      <w:r w:rsidRPr="00DE1A9B">
        <w:rPr>
          <w:rFonts w:eastAsia="Calibri"/>
          <w:sz w:val="18"/>
          <w:szCs w:val="18"/>
        </w:rPr>
        <w:tab/>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$877</w:t>
      </w:r>
      <w:r w:rsidRPr="00DE1A9B">
        <w:rPr>
          <w:rFonts w:eastAsia="Calibri"/>
          <w:sz w:val="18"/>
          <w:szCs w:val="18"/>
        </w:rPr>
        <w:tab/>
      </w:r>
      <w:r w:rsidRPr="00DE1A9B">
        <w:rPr>
          <w:rFonts w:eastAsia="Calibri"/>
          <w:sz w:val="18"/>
          <w:szCs w:val="18"/>
        </w:rPr>
        <w:tab/>
      </w:r>
      <w:r w:rsidRPr="00DE1A9B">
        <w:rPr>
          <w:rFonts w:eastAsia="Calibri"/>
          <w:sz w:val="18"/>
          <w:szCs w:val="18"/>
        </w:rPr>
        <w:tab/>
        <w:t>$1,244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$2,121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 Credits</w:t>
      </w:r>
      <w:r w:rsidRPr="00DE1A9B">
        <w:rPr>
          <w:rFonts w:eastAsia="Calibri"/>
          <w:sz w:val="18"/>
          <w:szCs w:val="18"/>
        </w:rPr>
        <w:tab/>
        <w:t>Total Credits Earned</w:t>
      </w:r>
      <w:r w:rsidRPr="00DE1A9B">
        <w:rPr>
          <w:rFonts w:eastAsia="Calibri"/>
          <w:sz w:val="18"/>
          <w:szCs w:val="18"/>
        </w:rPr>
        <w:tab/>
        <w:t>$0</w:t>
      </w:r>
      <w:r w:rsidRPr="00DE1A9B">
        <w:rPr>
          <w:rFonts w:eastAsia="Calibri"/>
          <w:sz w:val="18"/>
          <w:szCs w:val="18"/>
        </w:rPr>
        <w:tab/>
      </w:r>
      <w:r w:rsidRPr="00DE1A9B">
        <w:rPr>
          <w:rFonts w:eastAsia="Calibri"/>
          <w:sz w:val="18"/>
          <w:szCs w:val="18"/>
        </w:rPr>
        <w:tab/>
        <w:t>$1,087,000</w:t>
      </w:r>
      <w:r w:rsidRPr="00DE1A9B">
        <w:rPr>
          <w:rFonts w:eastAsia="Calibri"/>
          <w:sz w:val="18"/>
          <w:szCs w:val="18"/>
        </w:rPr>
        <w:tab/>
      </w:r>
      <w:r w:rsidRPr="00DE1A9B">
        <w:rPr>
          <w:rFonts w:eastAsia="Calibri"/>
          <w:sz w:val="18"/>
          <w:szCs w:val="18"/>
        </w:rPr>
        <w:tab/>
        <w:t>$1,442,000</w:t>
      </w:r>
      <w:r w:rsidRPr="00DE1A9B">
        <w:rPr>
          <w:rFonts w:eastAsia="Calibri"/>
          <w:sz w:val="18"/>
          <w:szCs w:val="18"/>
        </w:rPr>
        <w:tab/>
        <w:t>$2,529,000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 Deductions</w:t>
      </w:r>
      <w:r w:rsidRPr="00DE1A9B">
        <w:rPr>
          <w:rFonts w:eastAsia="Calibri"/>
          <w:sz w:val="18"/>
          <w:szCs w:val="18"/>
        </w:rPr>
        <w:tab/>
        <w:t xml:space="preserve">Total Liability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Reduction from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Deductions</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$14,674</w:t>
      </w:r>
      <w:r w:rsidRPr="00DE1A9B">
        <w:rPr>
          <w:rFonts w:eastAsia="Calibri"/>
          <w:sz w:val="18"/>
          <w:szCs w:val="18"/>
        </w:rPr>
        <w:tab/>
      </w:r>
      <w:r w:rsidRPr="00DE1A9B">
        <w:rPr>
          <w:rFonts w:eastAsia="Calibri"/>
          <w:sz w:val="18"/>
          <w:szCs w:val="18"/>
        </w:rPr>
        <w:tab/>
      </w:r>
      <w:r w:rsidRPr="00DE1A9B">
        <w:rPr>
          <w:rFonts w:eastAsia="Calibri"/>
          <w:sz w:val="18"/>
          <w:szCs w:val="18"/>
        </w:rPr>
        <w:tab/>
        <w:t>$19,464</w:t>
      </w:r>
      <w:r w:rsidRPr="00DE1A9B">
        <w:rPr>
          <w:rFonts w:eastAsia="Calibri"/>
          <w:sz w:val="18"/>
          <w:szCs w:val="18"/>
        </w:rPr>
        <w:tab/>
      </w:r>
      <w:r w:rsidRPr="00DE1A9B">
        <w:rPr>
          <w:rFonts w:eastAsia="Calibri"/>
          <w:sz w:val="18"/>
          <w:szCs w:val="18"/>
        </w:rPr>
        <w:tab/>
      </w:r>
      <w:r w:rsidRPr="00DE1A9B">
        <w:rPr>
          <w:rFonts w:eastAsia="Calibri"/>
          <w:sz w:val="18"/>
          <w:szCs w:val="18"/>
        </w:rPr>
        <w:tab/>
        <w:t>$34,138</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r w:rsidRPr="00DE1A9B">
        <w:rPr>
          <w:rFonts w:eastAsia="Calibri"/>
          <w:sz w:val="18"/>
          <w:szCs w:val="18"/>
        </w:rPr>
        <w:t xml:space="preserve">Total Tax </w:t>
      </w: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r w:rsidRPr="00DE1A9B">
        <w:rPr>
          <w:rFonts w:eastAsia="Calibri"/>
          <w:sz w:val="18"/>
          <w:szCs w:val="18"/>
        </w:rPr>
        <w:t>Reduction Earned</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$1,101,674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$1,461,464</w:t>
      </w:r>
      <w:r w:rsidRPr="00DE1A9B">
        <w:rPr>
          <w:rFonts w:eastAsia="Calibri"/>
          <w:sz w:val="18"/>
          <w:szCs w:val="18"/>
        </w:rPr>
        <w:tab/>
      </w:r>
      <w:r w:rsidRPr="00DE1A9B">
        <w:rPr>
          <w:rFonts w:eastAsia="Calibri"/>
          <w:sz w:val="18"/>
          <w:szCs w:val="18"/>
        </w:rPr>
        <w:tab/>
        <w:t>$2,563,138</w:t>
      </w: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Total Allowed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Per Year (rounded)</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$558,000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$740,000</w:t>
      </w:r>
      <w:r w:rsidRPr="00DE1A9B">
        <w:rPr>
          <w:rFonts w:eastAsia="Calibri"/>
          <w:sz w:val="18"/>
          <w:szCs w:val="18"/>
        </w:rPr>
        <w:tab/>
      </w:r>
      <w:r w:rsidRPr="00DE1A9B">
        <w:rPr>
          <w:rFonts w:eastAsia="Calibri"/>
          <w:sz w:val="18"/>
          <w:szCs w:val="18"/>
        </w:rPr>
        <w:tab/>
        <w:t>$1,299,000</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DE1A9B">
        <w:rPr>
          <w:rFonts w:eastAsiaTheme="minorHAnsi" w:cstheme="minorBidi"/>
          <w:b/>
          <w:bCs/>
          <w:sz w:val="24"/>
          <w:szCs w:val="22"/>
        </w:rPr>
        <w:t>I</w:t>
      </w:r>
      <w:r w:rsidRPr="00DE1A9B">
        <w:rPr>
          <w:rFonts w:eastAsiaTheme="minorHAnsi" w:cstheme="minorBidi"/>
          <w:b/>
          <w:bCs/>
          <w:szCs w:val="22"/>
        </w:rPr>
        <w:t xml:space="preserve">ntroduced on February 2, 2017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DE1A9B">
        <w:rPr>
          <w:rFonts w:eastAsiaTheme="minorHAnsi" w:cstheme="minorBidi"/>
          <w:b/>
          <w:bCs/>
          <w:szCs w:val="22"/>
        </w:rPr>
        <w:t>State Expenditure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tax credit applies to tax years 2017 to 2021.  The bill also requires the Department of Revenue (DOR) to report by March thirty-first of each year to the Senate Finance Committee, the House Ways and Means Committee, and the Governor the number of taxpayers claiming the credit, the total amount of credits allowed, and the number of hours the recipient taxpayers served as preceptors.  The report must provide the information disaggregated by type of preceptor.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DOR expects to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2017 filings, which would be completed by the filing extension date in October 2018, would be reported by March 31, 2019. The department has systems in place to create the new forms and track the required information. As such, the bill is not expected to impact expenditures for the general fund, federal funds, or other funds.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DE1A9B">
        <w:rPr>
          <w:b/>
          <w:bCs/>
          <w:szCs w:val="22"/>
        </w:rPr>
        <w:t>State Reve</w:t>
      </w:r>
      <w:r w:rsidRPr="00DE1A9B">
        <w:rPr>
          <w:rFonts w:eastAsiaTheme="minorHAnsi" w:cstheme="minorBidi"/>
          <w:b/>
          <w:bCs/>
          <w:sz w:val="24"/>
          <w:szCs w:val="22"/>
        </w:rPr>
        <w:t>n</w:t>
      </w:r>
      <w:r w:rsidRPr="00DE1A9B">
        <w:rPr>
          <w:b/>
          <w:bCs/>
          <w:szCs w:val="22"/>
        </w:rPr>
        <w:t>ue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and may provide a maximum of ten rotations.  Each clinical rotation must include a minimum of one hundred sixty hours of instruction, and the preceptor must not otherwise be compensated for providing the instruction. The tax credit applies to tax years 2017 to 2021.</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physicians, the amount of the credit varies depending upon the percentage of patients seen by the physician’s practice who are </w:t>
      </w:r>
      <w:r w:rsidRPr="00DE1A9B">
        <w:rPr>
          <w:rFonts w:eastAsiaTheme="minorHAnsi" w:cstheme="minorBidi"/>
          <w:szCs w:val="22"/>
        </w:rPr>
        <w:lastRenderedPageBreak/>
        <w:t xml:space="preserve">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Coalition for Increasing Access to Primary Care (CIAPC) includes members from Clemson University, Francis Marion University, Medical University of South Carolina (MUSC), and University of South Carolina (USC). CIAPC provided us with data regarding the number of preceptors for all programs in the state that are expected to qualify for these tax credits in 2017.  The table below includes this data.</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4158"/>
          <w:tab w:val="left" w:pos="5688"/>
          <w:tab w:val="left" w:pos="7668"/>
        </w:tabs>
        <w:ind w:left="115"/>
        <w:rPr>
          <w:rFonts w:cs="Calibri"/>
          <w:bCs/>
          <w:color w:val="000000"/>
          <w:sz w:val="16"/>
          <w:szCs w:val="16"/>
        </w:rPr>
      </w:pPr>
      <w:r w:rsidRPr="00DE1A9B">
        <w:rPr>
          <w:rFonts w:cs="Calibri"/>
          <w:bCs/>
          <w:color w:val="000000"/>
          <w:sz w:val="16"/>
          <w:szCs w:val="16"/>
        </w:rPr>
        <w:t>Preceptors with a Minimum of 2 Required Clinical Rotations per Year</w:t>
      </w:r>
    </w:p>
    <w:p w:rsidR="00DE1A9B" w:rsidRPr="00DE1A9B" w:rsidRDefault="00DE1A9B" w:rsidP="00DE1A9B">
      <w:pPr>
        <w:tabs>
          <w:tab w:val="left" w:pos="4158"/>
          <w:tab w:val="left" w:pos="5688"/>
          <w:tab w:val="left" w:pos="7668"/>
        </w:tabs>
        <w:ind w:left="115"/>
        <w:rPr>
          <w:sz w:val="16"/>
          <w:szCs w:val="16"/>
        </w:rPr>
      </w:pPr>
    </w:p>
    <w:p w:rsidR="00DE1A9B" w:rsidRPr="00DE1A9B" w:rsidRDefault="00DE1A9B" w:rsidP="00DE1A9B">
      <w:pPr>
        <w:tabs>
          <w:tab w:val="left" w:pos="3240"/>
          <w:tab w:val="left" w:pos="4680"/>
          <w:tab w:val="left" w:pos="4860"/>
          <w:tab w:val="left" w:pos="5688"/>
          <w:tab w:val="left" w:pos="7668"/>
        </w:tabs>
        <w:ind w:left="115"/>
        <w:rPr>
          <w:sz w:val="16"/>
          <w:szCs w:val="16"/>
        </w:rPr>
      </w:pPr>
      <w:r w:rsidRPr="00DE1A9B">
        <w:rPr>
          <w:bCs/>
          <w:color w:val="000000"/>
          <w:sz w:val="16"/>
          <w:szCs w:val="16"/>
        </w:rPr>
        <w:tab/>
        <w:t>Advanced</w:t>
      </w:r>
      <w:r w:rsidRPr="00DE1A9B">
        <w:rPr>
          <w:bCs/>
          <w:color w:val="000000"/>
          <w:sz w:val="16"/>
          <w:szCs w:val="16"/>
        </w:rPr>
        <w:tab/>
        <w:t>Physician</w:t>
      </w:r>
    </w:p>
    <w:p w:rsidR="00DE1A9B" w:rsidRPr="00DE1A9B" w:rsidRDefault="00DE1A9B" w:rsidP="00DE1A9B">
      <w:pPr>
        <w:tabs>
          <w:tab w:val="left" w:pos="1620"/>
          <w:tab w:val="left" w:pos="2970"/>
          <w:tab w:val="left" w:pos="3330"/>
          <w:tab w:val="left" w:pos="4680"/>
          <w:tab w:val="left" w:pos="4770"/>
          <w:tab w:val="left" w:pos="5688"/>
          <w:tab w:val="left" w:pos="7668"/>
        </w:tabs>
        <w:ind w:left="115"/>
        <w:rPr>
          <w:bCs/>
          <w:color w:val="000000"/>
          <w:sz w:val="16"/>
          <w:szCs w:val="16"/>
        </w:rPr>
      </w:pPr>
      <w:r w:rsidRPr="00DE1A9B">
        <w:rPr>
          <w:sz w:val="16"/>
          <w:szCs w:val="16"/>
        </w:rPr>
        <w:tab/>
      </w:r>
      <w:r w:rsidRPr="00DE1A9B">
        <w:rPr>
          <w:bCs/>
          <w:color w:val="000000"/>
          <w:sz w:val="16"/>
          <w:szCs w:val="16"/>
        </w:rPr>
        <w:t>Physician</w:t>
      </w:r>
      <w:r w:rsidRPr="00DE1A9B">
        <w:rPr>
          <w:bCs/>
          <w:color w:val="000000"/>
          <w:sz w:val="16"/>
          <w:szCs w:val="16"/>
        </w:rPr>
        <w:tab/>
        <w:t>PracticeNurse</w:t>
      </w:r>
      <w:r w:rsidRPr="00DE1A9B">
        <w:rPr>
          <w:bCs/>
          <w:color w:val="000000"/>
          <w:sz w:val="16"/>
          <w:szCs w:val="16"/>
        </w:rPr>
        <w:tab/>
        <w:t>Assistant</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r w:rsidRPr="00DE1A9B">
        <w:rPr>
          <w:bCs/>
          <w:color w:val="000000"/>
          <w:sz w:val="16"/>
          <w:szCs w:val="16"/>
        </w:rPr>
        <w:tab/>
        <w:t>Preceptors</w:t>
      </w:r>
      <w:r w:rsidRPr="00DE1A9B">
        <w:rPr>
          <w:bCs/>
          <w:color w:val="000000"/>
          <w:sz w:val="16"/>
          <w:szCs w:val="16"/>
        </w:rPr>
        <w:tab/>
        <w:t>Preceptors</w:t>
      </w:r>
      <w:r w:rsidRPr="00DE1A9B">
        <w:rPr>
          <w:bCs/>
          <w:color w:val="000000"/>
          <w:sz w:val="16"/>
          <w:szCs w:val="16"/>
        </w:rPr>
        <w:tab/>
        <w:t>Preceptors</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USC College of Med.</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Greenville</w:t>
      </w:r>
      <w:r w:rsidRPr="00DE1A9B">
        <w:rPr>
          <w:bCs/>
          <w:color w:val="000000"/>
          <w:sz w:val="16"/>
          <w:szCs w:val="16"/>
        </w:rPr>
        <w:tab/>
      </w:r>
      <w:r w:rsidRPr="00DE1A9B">
        <w:rPr>
          <w:color w:val="000000"/>
          <w:sz w:val="16"/>
          <w:szCs w:val="16"/>
        </w:rPr>
        <w:t>41</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Clemson</w:t>
      </w:r>
      <w:r w:rsidRPr="00DE1A9B">
        <w:rPr>
          <w:bCs/>
          <w:color w:val="000000"/>
          <w:sz w:val="16"/>
          <w:szCs w:val="16"/>
        </w:rPr>
        <w:tab/>
      </w:r>
      <w:r w:rsidRPr="00DE1A9B">
        <w:rPr>
          <w:color w:val="000000"/>
          <w:sz w:val="16"/>
          <w:szCs w:val="16"/>
        </w:rPr>
        <w:t>75</w:t>
      </w:r>
      <w:r w:rsidRPr="00DE1A9B">
        <w:rPr>
          <w:color w:val="000000"/>
          <w:sz w:val="16"/>
          <w:szCs w:val="16"/>
        </w:rPr>
        <w:tab/>
        <w:t>95</w:t>
      </w:r>
      <w:r w:rsidRPr="00DE1A9B">
        <w:rPr>
          <w:color w:val="000000"/>
          <w:sz w:val="16"/>
          <w:szCs w:val="16"/>
        </w:rPr>
        <w:tab/>
      </w:r>
    </w:p>
    <w:p w:rsidR="00DE1A9B" w:rsidRPr="00DE1A9B" w:rsidRDefault="00DE1A9B" w:rsidP="00DE1A9B">
      <w:pPr>
        <w:tabs>
          <w:tab w:val="left" w:pos="2070"/>
          <w:tab w:val="left" w:pos="3510"/>
          <w:tab w:val="left" w:pos="4950"/>
          <w:tab w:val="left" w:pos="7668"/>
        </w:tabs>
        <w:ind w:left="115"/>
        <w:jc w:val="left"/>
        <w:rPr>
          <w:bCs/>
          <w:color w:val="000000"/>
          <w:sz w:val="16"/>
          <w:szCs w:val="16"/>
        </w:rPr>
      </w:pPr>
      <w:r w:rsidRPr="00DE1A9B">
        <w:rPr>
          <w:bCs/>
          <w:color w:val="000000"/>
          <w:sz w:val="16"/>
          <w:szCs w:val="16"/>
        </w:rPr>
        <w:t>Francis Marion</w:t>
      </w:r>
      <w:r w:rsidRPr="00DE1A9B">
        <w:rPr>
          <w:bCs/>
          <w:color w:val="000000"/>
          <w:sz w:val="16"/>
          <w:szCs w:val="16"/>
        </w:rPr>
        <w:tab/>
        <w:t>66</w:t>
      </w:r>
      <w:r w:rsidRPr="00DE1A9B">
        <w:rPr>
          <w:bCs/>
          <w:color w:val="000000"/>
          <w:sz w:val="16"/>
          <w:szCs w:val="16"/>
        </w:rPr>
        <w:tab/>
        <w:t>46</w:t>
      </w:r>
      <w:r w:rsidRPr="00DE1A9B">
        <w:rPr>
          <w:bCs/>
          <w:color w:val="000000"/>
          <w:sz w:val="16"/>
          <w:szCs w:val="16"/>
        </w:rPr>
        <w:tab/>
        <w:t>32</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1080"/>
          <w:tab w:val="left" w:pos="2070"/>
          <w:tab w:val="left" w:pos="3510"/>
          <w:tab w:val="left" w:pos="4950"/>
          <w:tab w:val="left" w:pos="7668"/>
        </w:tabs>
        <w:ind w:left="115"/>
        <w:jc w:val="left"/>
        <w:rPr>
          <w:color w:val="000000"/>
          <w:sz w:val="16"/>
          <w:szCs w:val="16"/>
        </w:rPr>
      </w:pPr>
      <w:r w:rsidRPr="00DE1A9B">
        <w:rPr>
          <w:bCs/>
          <w:color w:val="000000"/>
          <w:sz w:val="16"/>
          <w:szCs w:val="16"/>
        </w:rPr>
        <w:t>of Med.</w:t>
      </w:r>
      <w:r w:rsidRPr="00DE1A9B">
        <w:rPr>
          <w:bCs/>
          <w:color w:val="000000"/>
          <w:sz w:val="16"/>
          <w:szCs w:val="16"/>
        </w:rPr>
        <w:tab/>
      </w:r>
      <w:r w:rsidRPr="00DE1A9B">
        <w:rPr>
          <w:bCs/>
          <w:color w:val="000000"/>
          <w:sz w:val="16"/>
          <w:szCs w:val="16"/>
        </w:rPr>
        <w:tab/>
        <w:t>90</w:t>
      </w:r>
      <w:r w:rsidRPr="00DE1A9B">
        <w:rPr>
          <w:bCs/>
          <w:color w:val="000000"/>
          <w:sz w:val="16"/>
          <w:szCs w:val="16"/>
        </w:rPr>
        <w:tab/>
        <w:t>0</w:t>
      </w:r>
      <w:r w:rsidRPr="00DE1A9B">
        <w:rPr>
          <w:bCs/>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 xml:space="preserve">of Nursing  </w:t>
      </w:r>
      <w:r w:rsidRPr="00DE1A9B">
        <w:rPr>
          <w:bCs/>
          <w:color w:val="000000"/>
          <w:sz w:val="16"/>
          <w:szCs w:val="16"/>
        </w:rPr>
        <w:tab/>
      </w:r>
      <w:r w:rsidRPr="00DE1A9B">
        <w:rPr>
          <w:color w:val="000000"/>
          <w:sz w:val="16"/>
          <w:szCs w:val="16"/>
        </w:rPr>
        <w:t>150</w:t>
      </w:r>
      <w:r w:rsidRPr="00DE1A9B">
        <w:rPr>
          <w:color w:val="000000"/>
          <w:sz w:val="16"/>
          <w:szCs w:val="16"/>
        </w:rPr>
        <w:tab/>
        <w:t>190</w:t>
      </w:r>
      <w:r w:rsidRPr="00DE1A9B">
        <w:rPr>
          <w:color w:val="000000"/>
          <w:sz w:val="16"/>
          <w:szCs w:val="16"/>
        </w:rPr>
        <w:tab/>
        <w:t>24</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of </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Health </w:t>
      </w:r>
    </w:p>
    <w:p w:rsidR="00DE1A9B" w:rsidRPr="00DE1A9B" w:rsidRDefault="00DE1A9B" w:rsidP="00DE1A9B">
      <w:pPr>
        <w:tabs>
          <w:tab w:val="left" w:pos="1530"/>
          <w:tab w:val="left" w:pos="2070"/>
          <w:tab w:val="left" w:pos="3510"/>
          <w:tab w:val="left" w:pos="4950"/>
          <w:tab w:val="left" w:pos="7668"/>
        </w:tabs>
        <w:ind w:left="115"/>
        <w:jc w:val="left"/>
        <w:rPr>
          <w:color w:val="000000"/>
          <w:sz w:val="16"/>
          <w:szCs w:val="16"/>
        </w:rPr>
      </w:pPr>
      <w:r w:rsidRPr="00DE1A9B">
        <w:rPr>
          <w:bCs/>
          <w:color w:val="000000"/>
          <w:sz w:val="16"/>
          <w:szCs w:val="16"/>
        </w:rPr>
        <w:t>Professions(PA)</w:t>
      </w:r>
      <w:r w:rsidRPr="00DE1A9B">
        <w:rPr>
          <w:bCs/>
          <w:color w:val="000000"/>
          <w:sz w:val="16"/>
          <w:szCs w:val="16"/>
        </w:rPr>
        <w:tab/>
      </w:r>
      <w:r w:rsidRPr="00DE1A9B">
        <w:rPr>
          <w:color w:val="000000"/>
          <w:sz w:val="16"/>
          <w:szCs w:val="16"/>
        </w:rPr>
        <w:t>70</w:t>
      </w:r>
      <w:r w:rsidRPr="00DE1A9B">
        <w:rPr>
          <w:color w:val="000000"/>
          <w:sz w:val="16"/>
          <w:szCs w:val="16"/>
        </w:rPr>
        <w:tab/>
        <w:t>3</w:t>
      </w:r>
      <w:r w:rsidRPr="00DE1A9B">
        <w:rPr>
          <w:color w:val="000000"/>
          <w:sz w:val="16"/>
          <w:szCs w:val="16"/>
        </w:rPr>
        <w:tab/>
        <w:t>25</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2160"/>
          <w:tab w:val="left" w:pos="3600"/>
          <w:tab w:val="left" w:pos="3960"/>
          <w:tab w:val="left" w:pos="7668"/>
        </w:tabs>
        <w:ind w:left="115"/>
        <w:jc w:val="left"/>
        <w:rPr>
          <w:bCs/>
          <w:color w:val="000000"/>
          <w:sz w:val="16"/>
          <w:szCs w:val="16"/>
        </w:rPr>
      </w:pPr>
      <w:r w:rsidRPr="00DE1A9B">
        <w:rPr>
          <w:bCs/>
          <w:color w:val="000000"/>
          <w:sz w:val="16"/>
          <w:szCs w:val="16"/>
        </w:rPr>
        <w:t xml:space="preserve">of Medicine </w:t>
      </w:r>
    </w:p>
    <w:p w:rsidR="00DE1A9B" w:rsidRPr="00DE1A9B" w:rsidRDefault="00DE1A9B" w:rsidP="00DE1A9B">
      <w:pPr>
        <w:tabs>
          <w:tab w:val="left" w:pos="2070"/>
          <w:tab w:val="left" w:pos="2160"/>
          <w:tab w:val="left" w:pos="3600"/>
          <w:tab w:val="left" w:pos="4950"/>
          <w:tab w:val="left" w:pos="7668"/>
        </w:tabs>
        <w:ind w:left="115"/>
        <w:jc w:val="left"/>
        <w:rPr>
          <w:color w:val="000000"/>
          <w:sz w:val="16"/>
          <w:szCs w:val="16"/>
        </w:rPr>
      </w:pPr>
      <w:r w:rsidRPr="00DE1A9B">
        <w:rPr>
          <w:bCs/>
          <w:color w:val="000000"/>
          <w:sz w:val="16"/>
          <w:szCs w:val="16"/>
        </w:rPr>
        <w:t>Columbia</w:t>
      </w:r>
      <w:r w:rsidRPr="00DE1A9B">
        <w:rPr>
          <w:bCs/>
          <w:color w:val="000000"/>
          <w:sz w:val="16"/>
          <w:szCs w:val="16"/>
        </w:rPr>
        <w:tab/>
      </w:r>
      <w:r w:rsidRPr="00DE1A9B">
        <w:rPr>
          <w:color w:val="000000"/>
          <w:sz w:val="16"/>
          <w:szCs w:val="16"/>
        </w:rPr>
        <w:t>50</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of Nursing</w:t>
      </w:r>
      <w:r w:rsidRPr="00DE1A9B">
        <w:rPr>
          <w:bCs/>
          <w:color w:val="000000"/>
          <w:sz w:val="16"/>
          <w:szCs w:val="16"/>
        </w:rPr>
        <w:tab/>
      </w:r>
      <w:r w:rsidRPr="00DE1A9B">
        <w:rPr>
          <w:color w:val="000000"/>
          <w:sz w:val="16"/>
          <w:szCs w:val="16"/>
        </w:rPr>
        <w:t>150</w:t>
      </w:r>
      <w:r w:rsidRPr="00DE1A9B">
        <w:rPr>
          <w:color w:val="000000"/>
          <w:sz w:val="16"/>
          <w:szCs w:val="16"/>
        </w:rPr>
        <w:tab/>
        <w:t>202</w:t>
      </w:r>
      <w:r w:rsidRPr="00DE1A9B">
        <w:rPr>
          <w:color w:val="000000"/>
          <w:sz w:val="16"/>
          <w:szCs w:val="16"/>
        </w:rPr>
        <w:tab/>
        <w:t>8</w:t>
      </w:r>
    </w:p>
    <w:p w:rsidR="00DE1A9B" w:rsidRPr="00DE1A9B" w:rsidRDefault="00DE1A9B" w:rsidP="00DE1A9B">
      <w:pPr>
        <w:tabs>
          <w:tab w:val="left" w:pos="4158"/>
          <w:tab w:val="left" w:pos="5688"/>
          <w:tab w:val="left" w:pos="7668"/>
        </w:tabs>
        <w:ind w:left="115"/>
        <w:jc w:val="left"/>
        <w:rPr>
          <w:sz w:val="16"/>
          <w:szCs w:val="16"/>
        </w:rPr>
      </w:pPr>
      <w:r w:rsidRPr="00DE1A9B">
        <w:rPr>
          <w:color w:val="000000"/>
          <w:sz w:val="16"/>
          <w:szCs w:val="16"/>
        </w:rPr>
        <w:tab/>
      </w:r>
      <w:r w:rsidRPr="00DE1A9B">
        <w:rPr>
          <w:sz w:val="16"/>
          <w:szCs w:val="16"/>
        </w:rPr>
        <w:tab/>
      </w:r>
      <w:r w:rsidRPr="00DE1A9B">
        <w:rPr>
          <w:sz w:val="16"/>
          <w:szCs w:val="16"/>
        </w:rPr>
        <w:tab/>
      </w:r>
    </w:p>
    <w:p w:rsidR="00DE1A9B" w:rsidRPr="00DE1A9B" w:rsidRDefault="00DE1A9B" w:rsidP="00DE1A9B">
      <w:pPr>
        <w:tabs>
          <w:tab w:val="left" w:pos="2070"/>
          <w:tab w:val="left" w:pos="2340"/>
          <w:tab w:val="left" w:pos="3510"/>
          <w:tab w:val="left" w:pos="4950"/>
          <w:tab w:val="left" w:pos="7668"/>
        </w:tabs>
        <w:ind w:left="115"/>
        <w:jc w:val="left"/>
        <w:rPr>
          <w:color w:val="000000"/>
          <w:sz w:val="16"/>
          <w:szCs w:val="16"/>
        </w:rPr>
      </w:pPr>
      <w:r w:rsidRPr="00DE1A9B">
        <w:rPr>
          <w:bCs/>
          <w:color w:val="000000"/>
          <w:sz w:val="16"/>
          <w:szCs w:val="16"/>
        </w:rPr>
        <w:t>Total</w:t>
      </w:r>
      <w:r w:rsidRPr="00DE1A9B">
        <w:rPr>
          <w:bCs/>
          <w:color w:val="000000"/>
          <w:sz w:val="16"/>
          <w:szCs w:val="16"/>
        </w:rPr>
        <w:tab/>
      </w:r>
      <w:r w:rsidRPr="00DE1A9B">
        <w:rPr>
          <w:color w:val="000000"/>
          <w:sz w:val="16"/>
          <w:szCs w:val="16"/>
        </w:rPr>
        <w:t>576</w:t>
      </w:r>
      <w:r w:rsidRPr="00DE1A9B">
        <w:rPr>
          <w:color w:val="000000"/>
          <w:sz w:val="16"/>
          <w:szCs w:val="16"/>
        </w:rPr>
        <w:tab/>
      </w:r>
      <w:r w:rsidRPr="00DE1A9B">
        <w:rPr>
          <w:color w:val="000000"/>
          <w:sz w:val="16"/>
          <w:szCs w:val="16"/>
        </w:rPr>
        <w:tab/>
        <w:t>536</w:t>
      </w:r>
      <w:r w:rsidRPr="00DE1A9B">
        <w:rPr>
          <w:color w:val="000000"/>
          <w:sz w:val="16"/>
          <w:szCs w:val="16"/>
        </w:rPr>
        <w:tab/>
        <w:t>89</w:t>
      </w:r>
    </w:p>
    <w:p w:rsidR="00DE1A9B" w:rsidRPr="00DE1A9B" w:rsidRDefault="00DE1A9B" w:rsidP="00DE1A9B">
      <w:pPr>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In order to determine the estimated distribution of Medicaid insured, Medicare insured, and self-pay patients, we used a national study by the Kaiser Family Foundation, </w:t>
      </w:r>
      <w:r w:rsidRPr="00DE1A9B">
        <w:rPr>
          <w:rFonts w:eastAsiaTheme="minorHAnsi" w:cstheme="minorBidi"/>
          <w:i/>
          <w:szCs w:val="22"/>
        </w:rPr>
        <w:t xml:space="preserve">Primary Care Physicians </w:t>
      </w:r>
      <w:r w:rsidRPr="00DE1A9B">
        <w:rPr>
          <w:rFonts w:eastAsiaTheme="minorHAnsi" w:cstheme="minorBidi"/>
          <w:i/>
          <w:szCs w:val="22"/>
        </w:rPr>
        <w:lastRenderedPageBreak/>
        <w:t>Accepting Medicare: A Snapshot</w:t>
      </w:r>
      <w:r w:rsidRPr="00DE1A9B">
        <w:rPr>
          <w:rFonts w:eastAsiaTheme="minorHAnsi" w:cstheme="minorBidi"/>
          <w:szCs w:val="22"/>
        </w:rPr>
        <w:t xml:space="preserve"> from October 30, 2015.  This study surveyed 1,257 non-pediatric primary care physicians accepting new and current Medicare patients.  The survey found that 25 percent of practices consist of less than 25 percent Medicare patients, 41 percent consist of 25 to 49 percent Medicare patients, and 32 percent are 50 percent or more Medicare patients, with 2 percent not reporting.  Based upon these figures, we would estimate 32 percent of practices would fall under 30 percent Medicare, 35 percent would be 30 to 49 percent Medicare, and 33 percent are 50 percent or more Medicare patients, distributing the non-reporting 2 across the categories.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i/>
          <w:szCs w:val="22"/>
        </w:rPr>
      </w:pPr>
      <w:r w:rsidRPr="00DE1A9B">
        <w:rPr>
          <w:rFonts w:eastAsiaTheme="minorHAnsi" w:cstheme="minorBidi"/>
          <w:szCs w:val="22"/>
        </w:rPr>
        <w:tab/>
        <w:t xml:space="preserve">Further, the Kaiser Family Foundation reports in </w:t>
      </w:r>
      <w:r w:rsidRPr="00DE1A9B">
        <w:rPr>
          <w:rFonts w:eastAsiaTheme="minorHAnsi" w:cstheme="minorBidi"/>
          <w:i/>
          <w:szCs w:val="22"/>
        </w:rPr>
        <w:t>Health Insurance Coverage of the Total Population, 2015</w:t>
      </w:r>
      <w:r w:rsidRPr="00DE1A9B">
        <w:rPr>
          <w:rFonts w:eastAsiaTheme="minorHAnsi" w:cstheme="minorBidi"/>
          <w:szCs w:val="22"/>
        </w:rPr>
        <w:t xml:space="preserve">, Medicaid, Medicare, and uninsured patients compose 43 percent of the population nationally, whereas they compose 46 percent of South Carolina’s population. As such, we have further adjusted the distribution of practices to reflect the higher concentration of Medicaid, Medicare, and uninsured patients in South Carolina compared to the nation.  With this adjustment, we would estimate 27 percent of practices would fall under 30 percent Medicare, 38 percent would be 30 to 49 percent Medicare, and 36 percent are 50 percent or more Medicare patients, distributing the non-reporting 2 across the categories.  While these figures are specific to Medicare, a study by the Centers for Disease Control and Prevention, </w:t>
      </w:r>
      <w:r w:rsidRPr="00DE1A9B">
        <w:rPr>
          <w:rFonts w:eastAsiaTheme="minorHAnsi" w:cstheme="minorBidi"/>
          <w:i/>
          <w:szCs w:val="22"/>
        </w:rPr>
        <w:t xml:space="preserve">Acceptance of New Patients with Public and Private Insurance by Office-based Physicians: United States, 2013, </w:t>
      </w:r>
      <w:r w:rsidRPr="00DE1A9B">
        <w:rPr>
          <w:rFonts w:eastAsiaTheme="minorHAnsi" w:cstheme="minorBidi"/>
          <w:szCs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We then applied this distribution to the numbers of preceptors provided by CIAPC. Preceptors must provide at least two rotations and are allowed a maximum of ten rotations under this proposal. However, the maximum number of rotations that qualifying programs offer is five rotations, so our analysis is based upon five rotations per preceptor.  We assume that these taxpayers have higher income tax liabilities than average and will have sufficient taxable income to utilize all qualifying credits.  In total, the proposal is expected to reduce general fund income tax revenue by up to $3,161,000 in FY 2017-18 and each year thereafter through FY </w:t>
      </w:r>
      <w:r w:rsidRPr="00DE1A9B">
        <w:rPr>
          <w:rFonts w:eastAsiaTheme="minorHAnsi" w:cstheme="minorBidi"/>
          <w:szCs w:val="22"/>
        </w:rPr>
        <w:lastRenderedPageBreak/>
        <w:t xml:space="preserve">2021-22, after which the credit expires.  The table below outlines this analysis.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keepNext/>
        <w:keepLines/>
        <w:tabs>
          <w:tab w:val="left" w:pos="3708"/>
          <w:tab w:val="left" w:pos="5058"/>
          <w:tab w:val="left" w:pos="6588"/>
          <w:tab w:val="left" w:pos="8028"/>
        </w:tabs>
        <w:ind w:left="123"/>
        <w:jc w:val="left"/>
        <w:rPr>
          <w:color w:val="000000"/>
          <w:sz w:val="18"/>
          <w:szCs w:val="18"/>
        </w:rPr>
      </w:pPr>
      <w:r w:rsidRPr="00DE1A9B">
        <w:rPr>
          <w:color w:val="000000"/>
          <w:sz w:val="18"/>
          <w:szCs w:val="18"/>
        </w:rPr>
        <w:t xml:space="preserve">Percentage of Patients </w:t>
      </w:r>
    </w:p>
    <w:p w:rsidR="00DE1A9B" w:rsidRPr="00DE1A9B" w:rsidRDefault="00DE1A9B" w:rsidP="00DE1A9B">
      <w:pPr>
        <w:keepNext/>
        <w:keepLines/>
        <w:tabs>
          <w:tab w:val="left" w:pos="3708"/>
          <w:tab w:val="left" w:pos="5058"/>
          <w:tab w:val="left" w:pos="6588"/>
          <w:tab w:val="left" w:pos="8028"/>
        </w:tabs>
        <w:ind w:left="123"/>
        <w:jc w:val="left"/>
        <w:rPr>
          <w:color w:val="000000"/>
          <w:sz w:val="18"/>
          <w:szCs w:val="18"/>
        </w:rPr>
      </w:pPr>
      <w:r w:rsidRPr="00DE1A9B">
        <w:rPr>
          <w:color w:val="000000"/>
          <w:sz w:val="18"/>
          <w:szCs w:val="18"/>
        </w:rPr>
        <w:t xml:space="preserve">on Medicaid, Medicare,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color w:val="000000"/>
          <w:sz w:val="18"/>
          <w:szCs w:val="18"/>
        </w:rPr>
        <w:t xml:space="preserve">or Self-pay </w:t>
      </w:r>
      <w:r w:rsidRPr="00DE1A9B">
        <w:rPr>
          <w:color w:val="000000"/>
          <w:sz w:val="18"/>
          <w:szCs w:val="18"/>
        </w:rPr>
        <w:tab/>
      </w:r>
      <w:r w:rsidRPr="00DE1A9B">
        <w:rPr>
          <w:color w:val="000000"/>
          <w:sz w:val="18"/>
          <w:szCs w:val="18"/>
        </w:rPr>
        <w:tab/>
      </w:r>
      <w:r w:rsidRPr="00DE1A9B">
        <w:rPr>
          <w:color w:val="000000"/>
          <w:sz w:val="18"/>
          <w:szCs w:val="18"/>
        </w:rPr>
        <w:tab/>
        <w:t>0%-29%</w:t>
      </w:r>
      <w:r w:rsidRPr="00DE1A9B">
        <w:rPr>
          <w:color w:val="000000"/>
          <w:sz w:val="18"/>
          <w:szCs w:val="18"/>
        </w:rPr>
        <w:tab/>
      </w:r>
      <w:r w:rsidRPr="00DE1A9B">
        <w:rPr>
          <w:color w:val="000000"/>
          <w:sz w:val="18"/>
          <w:szCs w:val="18"/>
        </w:rPr>
        <w:tab/>
      </w:r>
      <w:r w:rsidRPr="00DE1A9B">
        <w:rPr>
          <w:color w:val="000000"/>
          <w:sz w:val="18"/>
          <w:szCs w:val="18"/>
        </w:rPr>
        <w:tab/>
      </w:r>
      <w:r w:rsidRPr="00DE1A9B">
        <w:rPr>
          <w:rFonts w:eastAsia="Calibri"/>
          <w:sz w:val="18"/>
          <w:szCs w:val="18"/>
        </w:rPr>
        <w:t>30%-49%</w:t>
      </w:r>
      <w:r w:rsidRPr="00DE1A9B">
        <w:rPr>
          <w:rFonts w:eastAsia="Calibri"/>
          <w:sz w:val="18"/>
          <w:szCs w:val="18"/>
        </w:rPr>
        <w:tab/>
      </w:r>
      <w:r w:rsidRPr="00DE1A9B">
        <w:rPr>
          <w:rFonts w:eastAsia="Calibri"/>
          <w:sz w:val="18"/>
          <w:szCs w:val="18"/>
        </w:rPr>
        <w:tab/>
      </w:r>
      <w:r w:rsidRPr="00DE1A9B">
        <w:rPr>
          <w:rFonts w:eastAsia="Calibri"/>
          <w:sz w:val="18"/>
          <w:szCs w:val="18"/>
        </w:rPr>
        <w:tab/>
        <w:t>50%-100%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Estimated Percentage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of Practices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  in SC</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37%</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Physician</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$1,000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Number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167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210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199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576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835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1,051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994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2,880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$788,400</w:t>
      </w:r>
      <w:r w:rsidRPr="00DE1A9B">
        <w:rPr>
          <w:rFonts w:eastAsia="Calibri"/>
          <w:sz w:val="18"/>
          <w:szCs w:val="18"/>
        </w:rPr>
        <w:tab/>
      </w:r>
      <w:r w:rsidRPr="00DE1A9B">
        <w:rPr>
          <w:rFonts w:eastAsia="Calibri"/>
          <w:sz w:val="18"/>
          <w:szCs w:val="18"/>
        </w:rPr>
        <w:tab/>
        <w:t>$993,600</w:t>
      </w:r>
      <w:r w:rsidRPr="00DE1A9B">
        <w:rPr>
          <w:rFonts w:eastAsia="Calibri"/>
          <w:sz w:val="18"/>
          <w:szCs w:val="18"/>
        </w:rPr>
        <w:tab/>
      </w:r>
      <w:r w:rsidRPr="00DE1A9B">
        <w:rPr>
          <w:rFonts w:eastAsia="Calibri"/>
          <w:sz w:val="18"/>
          <w:szCs w:val="18"/>
        </w:rPr>
        <w:tab/>
      </w:r>
      <w:r w:rsidRPr="00DE1A9B">
        <w:rPr>
          <w:rFonts w:eastAsia="Calibri"/>
          <w:sz w:val="18"/>
          <w:szCs w:val="18"/>
        </w:rPr>
        <w:tab/>
        <w:t>$1,782,000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Advanced</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Practice Nurse</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155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196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185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536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777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978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925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2,680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$489,100</w:t>
      </w:r>
      <w:r w:rsidRPr="00DE1A9B">
        <w:rPr>
          <w:rFonts w:eastAsia="Calibri"/>
          <w:sz w:val="18"/>
          <w:szCs w:val="18"/>
        </w:rPr>
        <w:tab/>
      </w:r>
      <w:r w:rsidRPr="00DE1A9B">
        <w:rPr>
          <w:rFonts w:eastAsia="Calibri"/>
          <w:sz w:val="18"/>
          <w:szCs w:val="18"/>
        </w:rPr>
        <w:tab/>
      </w:r>
      <w:r w:rsidRPr="00DE1A9B">
        <w:rPr>
          <w:rFonts w:eastAsia="Calibri"/>
          <w:sz w:val="18"/>
          <w:szCs w:val="18"/>
        </w:rPr>
        <w:tab/>
        <w:t>$693,450</w:t>
      </w:r>
      <w:r w:rsidRPr="00DE1A9B">
        <w:rPr>
          <w:rFonts w:eastAsia="Calibri"/>
          <w:sz w:val="18"/>
          <w:szCs w:val="18"/>
        </w:rPr>
        <w:tab/>
      </w:r>
      <w:r w:rsidRPr="00DE1A9B">
        <w:rPr>
          <w:rFonts w:eastAsia="Calibri"/>
          <w:sz w:val="18"/>
          <w:szCs w:val="18"/>
        </w:rPr>
        <w:tab/>
      </w:r>
      <w:r w:rsidRPr="00DE1A9B">
        <w:rPr>
          <w:rFonts w:eastAsia="Calibri"/>
          <w:sz w:val="18"/>
          <w:szCs w:val="18"/>
        </w:rPr>
        <w:tab/>
        <w:t>$1,182,550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Physician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Assistant</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26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32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31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89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129 </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162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154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445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$81,213</w:t>
      </w:r>
      <w:r w:rsidRPr="00DE1A9B">
        <w:rPr>
          <w:rFonts w:eastAsia="Calibri"/>
          <w:sz w:val="18"/>
          <w:szCs w:val="18"/>
        </w:rPr>
        <w:tab/>
      </w:r>
      <w:r w:rsidRPr="00DE1A9B">
        <w:rPr>
          <w:rFonts w:eastAsia="Calibri"/>
          <w:sz w:val="18"/>
          <w:szCs w:val="18"/>
        </w:rPr>
        <w:tab/>
      </w:r>
      <w:r w:rsidRPr="00DE1A9B">
        <w:rPr>
          <w:rFonts w:eastAsia="Calibri"/>
          <w:sz w:val="18"/>
          <w:szCs w:val="18"/>
        </w:rPr>
        <w:tab/>
        <w:t>$115,144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$196,356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w:t>
      </w:r>
      <w:r w:rsidRPr="00DE1A9B">
        <w:rPr>
          <w:rFonts w:eastAsia="Calibri"/>
          <w:sz w:val="18"/>
          <w:szCs w:val="18"/>
        </w:rPr>
        <w:tab/>
        <w:t>Total Credits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t xml:space="preserve"> (Rounded)</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$1,359,000</w:t>
      </w:r>
      <w:r w:rsidRPr="00DE1A9B">
        <w:rPr>
          <w:rFonts w:eastAsia="Calibri"/>
          <w:sz w:val="18"/>
          <w:szCs w:val="18"/>
        </w:rPr>
        <w:tab/>
      </w:r>
      <w:r w:rsidRPr="00DE1A9B">
        <w:rPr>
          <w:rFonts w:eastAsia="Calibri"/>
          <w:sz w:val="18"/>
          <w:szCs w:val="18"/>
        </w:rPr>
        <w:tab/>
      </w:r>
      <w:r w:rsidRPr="00DE1A9B">
        <w:rPr>
          <w:rFonts w:eastAsia="Calibri"/>
          <w:sz w:val="18"/>
          <w:szCs w:val="18"/>
        </w:rPr>
        <w:tab/>
        <w:t>$1,802,000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$3,161,000</w:t>
      </w:r>
    </w:p>
    <w:p w:rsid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E4981"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2E4981" w:rsidRPr="00DE1A9B"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C1C" w:rsidSect="00AE0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A0C" w:rsidRDefault="00D53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2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0B2A5C" w:rsidRDefault="000B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5C" w:rsidRPr="005964EA" w:rsidRDefault="00A72D98"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2A5C" w:rsidRPr="005964EA">
        <w:rPr>
          <w:color w:val="000000" w:themeColor="text1"/>
          <w:u w:color="000000" w:themeColor="text1"/>
        </w:rPr>
        <w:t>Article 25, Chapter 6, Title 12 of the 1976 Code is amended by adding:</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w:t>
      </w:r>
      <w:r w:rsidRPr="005964EA">
        <w:rPr>
          <w:color w:val="000000" w:themeColor="text1"/>
          <w:u w:color="000000" w:themeColor="text1"/>
        </w:rPr>
        <w:tab/>
        <w:t>(A)(1)</w:t>
      </w:r>
      <w:r w:rsidRPr="005964EA">
        <w:rPr>
          <w:color w:val="000000" w:themeColor="text1"/>
          <w:u w:color="000000" w:themeColor="text1"/>
        </w:rPr>
        <w:tab/>
        <w:t>Beginning after 2016</w:t>
      </w:r>
      <w:r>
        <w:rPr>
          <w:color w:val="000000" w:themeColor="text1"/>
          <w:u w:color="000000" w:themeColor="text1"/>
        </w:rPr>
        <w:t>,</w:t>
      </w:r>
      <w:r w:rsidRPr="005964EA">
        <w:rPr>
          <w:color w:val="000000" w:themeColor="text1"/>
          <w:u w:color="000000" w:themeColor="text1"/>
        </w:rPr>
        <w:t xml:space="preserve"> and ending after 2021, there is allowed an income tax credit for each clinical rotation a physician serves as the preceptor for a medical school required clinical rotation, advanced practice nurs</w:t>
      </w:r>
      <w:r>
        <w:rPr>
          <w:color w:val="000000" w:themeColor="text1"/>
          <w:u w:color="000000" w:themeColor="text1"/>
        </w:rPr>
        <w:t>ing</w:t>
      </w:r>
      <w:r w:rsidRPr="005964EA">
        <w:rPr>
          <w:color w:val="000000" w:themeColor="text1"/>
          <w:u w:color="000000" w:themeColor="text1"/>
        </w:rPr>
        <w:t xml:space="preserve"> program required clinical rotation, and physician assistant program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If at least fifty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one thousand dollars for each rotation served, not to exceed ten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If at least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seven hundred fifty 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If less than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(B)(1)</w:t>
      </w:r>
      <w:r w:rsidRPr="005964EA">
        <w:rPr>
          <w:color w:val="000000" w:themeColor="text1"/>
          <w:u w:color="000000" w:themeColor="text1"/>
        </w:rPr>
        <w:tab/>
        <w:t>Beginning after 2016 and ending after 2021, there is allowed an income tax credit for each clinical ro</w:t>
      </w:r>
      <w:r>
        <w:rPr>
          <w:color w:val="000000" w:themeColor="text1"/>
          <w:u w:color="000000" w:themeColor="text1"/>
        </w:rPr>
        <w:t xml:space="preserve">tation an advanced practice registered nurse </w:t>
      </w:r>
      <w:r w:rsidRPr="005964EA">
        <w:rPr>
          <w:color w:val="000000" w:themeColor="text1"/>
          <w:u w:color="000000" w:themeColor="text1"/>
        </w:rPr>
        <w:t>or physician assistant serves as the precepto</w:t>
      </w:r>
      <w:r>
        <w:rPr>
          <w:color w:val="000000" w:themeColor="text1"/>
          <w:u w:color="000000" w:themeColor="text1"/>
        </w:rPr>
        <w:t>r for an advanced practice nursing</w:t>
      </w:r>
      <w:r w:rsidRPr="005964EA">
        <w:rPr>
          <w:color w:val="000000" w:themeColor="text1"/>
          <w:u w:color="000000" w:themeColor="text1"/>
        </w:rPr>
        <w:t xml:space="preserve"> or physician assistant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 xml:space="preserve">If at least fifty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Pr>
          <w:color w:val="000000" w:themeColor="text1"/>
          <w:u w:color="000000" w:themeColor="text1"/>
        </w:rPr>
        <w:t>s</w:t>
      </w:r>
      <w:r w:rsidRPr="005964EA">
        <w:rPr>
          <w:color w:val="000000" w:themeColor="text1"/>
          <w:u w:color="000000" w:themeColor="text1"/>
        </w:rPr>
        <w:t xml:space="preserve"> or</w:t>
      </w:r>
      <w:r>
        <w:rPr>
          <w:color w:val="000000" w:themeColor="text1"/>
          <w:u w:color="000000" w:themeColor="text1"/>
        </w:rPr>
        <w:t xml:space="preserve"> physician</w:t>
      </w:r>
      <w:r w:rsidRPr="005964EA">
        <w:rPr>
          <w:color w:val="000000" w:themeColor="text1"/>
          <w:u w:color="000000" w:themeColor="text1"/>
        </w:rPr>
        <w:t xml:space="preserve"> 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 xml:space="preserve">pay patients, then the credit is equal to seven hundred </w:t>
      </w:r>
      <w:r>
        <w:rPr>
          <w:color w:val="000000" w:themeColor="text1"/>
          <w:u w:color="000000" w:themeColor="text1"/>
        </w:rPr>
        <w:t xml:space="preserve">fifty </w:t>
      </w:r>
      <w:r w:rsidRPr="005964EA">
        <w:rPr>
          <w:color w:val="000000" w:themeColor="text1"/>
          <w:u w:color="000000" w:themeColor="text1"/>
        </w:rPr>
        <w:t>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 xml:space="preserve">If at least thirty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five hundred dollars for each rotation served, not to exceed five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 xml:space="preserve">If less than thirty percent of the </w:t>
      </w:r>
      <w:r>
        <w:rPr>
          <w:color w:val="000000" w:themeColor="text1"/>
          <w:u w:color="000000" w:themeColor="text1"/>
        </w:rPr>
        <w:t xml:space="preserve">advance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 xml:space="preserve">s practice consists of a </w:t>
      </w:r>
      <w:r w:rsidRPr="005964EA">
        <w:rPr>
          <w:color w:val="000000" w:themeColor="text1"/>
          <w:u w:color="000000" w:themeColor="text1"/>
        </w:rPr>
        <w:lastRenderedPageBreak/>
        <w:t>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(C)</w:t>
      </w:r>
      <w:r w:rsidRPr="005964EA">
        <w:rPr>
          <w:color w:val="000000" w:themeColor="text1"/>
          <w:u w:color="000000" w:themeColor="text1"/>
        </w:rPr>
        <w:tab/>
        <w:t>For purposes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(1)</w:t>
      </w:r>
      <w:r w:rsidRPr="005964EA">
        <w:rPr>
          <w:color w:val="000000" w:themeColor="text1"/>
          <w:u w:color="000000" w:themeColor="text1"/>
        </w:rPr>
        <w:tab/>
      </w:r>
      <w:r w:rsidRPr="000B2A5C">
        <w:rPr>
          <w:color w:val="000000" w:themeColor="text1"/>
          <w:u w:color="000000" w:themeColor="text1"/>
        </w:rPr>
        <w:t>‘</w:t>
      </w:r>
      <w:r>
        <w:rPr>
          <w:color w:val="000000" w:themeColor="text1"/>
          <w:u w:color="000000" w:themeColor="text1"/>
        </w:rPr>
        <w:t>Preceptor</w:t>
      </w:r>
      <w:r w:rsidRPr="000B2A5C">
        <w:rPr>
          <w:color w:val="000000" w:themeColor="text1"/>
          <w:u w:color="000000" w:themeColor="text1"/>
        </w:rPr>
        <w:t>’</w:t>
      </w:r>
      <w:r>
        <w:rPr>
          <w:color w:val="000000" w:themeColor="text1"/>
          <w:u w:color="000000" w:themeColor="text1"/>
        </w:rPr>
        <w:t xml:space="preserve">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r w:rsidRPr="005964EA">
        <w:rPr>
          <w:color w:val="000000" w:themeColor="text1"/>
          <w:u w:color="000000" w:themeColor="text1"/>
        </w:rPr>
        <w: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w:t>
      </w:r>
      <w:r>
        <w:rPr>
          <w:color w:val="000000" w:themeColor="text1"/>
          <w:u w:color="000000" w:themeColor="text1"/>
        </w:rPr>
        <w:t>2</w:t>
      </w:r>
      <w:r w:rsidRPr="005964EA">
        <w:rPr>
          <w:color w:val="000000" w:themeColor="text1"/>
          <w:u w:color="000000" w:themeColor="text1"/>
        </w:rPr>
        <w:t>)</w:t>
      </w:r>
      <w:r w:rsidRPr="005964EA">
        <w:rPr>
          <w:color w:val="000000" w:themeColor="text1"/>
          <w:u w:color="000000" w:themeColor="text1"/>
        </w:rPr>
        <w:tab/>
      </w:r>
      <w:r w:rsidRPr="000B2A5C">
        <w:rPr>
          <w:color w:val="000000" w:themeColor="text1"/>
          <w:u w:color="000000" w:themeColor="text1"/>
        </w:rPr>
        <w:t>‘</w:t>
      </w:r>
      <w:r w:rsidRPr="005964EA">
        <w:rPr>
          <w:color w:val="000000" w:themeColor="text1"/>
          <w:u w:color="000000" w:themeColor="text1"/>
        </w:rPr>
        <w:t>Medical school required clinical rotation</w:t>
      </w:r>
      <w:r w:rsidRPr="000B2A5C">
        <w:rPr>
          <w:color w:val="000000" w:themeColor="text1"/>
          <w:u w:color="000000" w:themeColor="text1"/>
        </w:rPr>
        <w:t>’</w:t>
      </w:r>
      <w:r w:rsidRPr="005964EA">
        <w:rPr>
          <w:color w:val="000000" w:themeColor="text1"/>
          <w:u w:color="000000" w:themeColor="text1"/>
        </w:rPr>
        <w:t xml:space="preserve">, </w:t>
      </w:r>
      <w:r w:rsidRPr="000B2A5C">
        <w:rPr>
          <w:color w:val="000000" w:themeColor="text1"/>
          <w:u w:color="000000" w:themeColor="text1"/>
        </w:rPr>
        <w:t>‘</w:t>
      </w:r>
      <w:r w:rsidRPr="005964EA">
        <w:rPr>
          <w:color w:val="000000" w:themeColor="text1"/>
          <w:u w:color="000000" w:themeColor="text1"/>
        </w:rPr>
        <w:t>physician assistant program required clinical rotation</w:t>
      </w:r>
      <w:r w:rsidRPr="000B2A5C">
        <w:rPr>
          <w:color w:val="000000" w:themeColor="text1"/>
          <w:u w:color="000000" w:themeColor="text1"/>
        </w:rPr>
        <w:t>’</w:t>
      </w:r>
      <w:r w:rsidRPr="005964EA">
        <w:rPr>
          <w:color w:val="000000" w:themeColor="text1"/>
          <w:u w:color="000000" w:themeColor="text1"/>
        </w:rPr>
        <w:t xml:space="preserve">, or </w:t>
      </w:r>
      <w:r w:rsidRPr="000B2A5C">
        <w:rPr>
          <w:color w:val="000000" w:themeColor="text1"/>
          <w:u w:color="000000" w:themeColor="text1"/>
        </w:rPr>
        <w:t>‘</w:t>
      </w:r>
      <w:r w:rsidRPr="005964EA">
        <w:rPr>
          <w:color w:val="000000" w:themeColor="text1"/>
          <w:u w:color="000000" w:themeColor="text1"/>
        </w:rPr>
        <w:t>adv</w:t>
      </w:r>
      <w:r>
        <w:rPr>
          <w:color w:val="000000" w:themeColor="text1"/>
          <w:u w:color="000000" w:themeColor="text1"/>
        </w:rPr>
        <w:t>anced practice nursing</w:t>
      </w:r>
      <w:r w:rsidRPr="005964EA">
        <w:rPr>
          <w:color w:val="000000" w:themeColor="text1"/>
          <w:u w:color="000000" w:themeColor="text1"/>
        </w:rPr>
        <w:t xml:space="preserve"> program required clinical rotation</w:t>
      </w:r>
      <w:r w:rsidRPr="000B2A5C">
        <w:rPr>
          <w:color w:val="000000" w:themeColor="text1"/>
          <w:u w:color="000000" w:themeColor="text1"/>
        </w:rPr>
        <w:t>’</w:t>
      </w:r>
      <w:r w:rsidRPr="005964EA">
        <w:rPr>
          <w:color w:val="000000" w:themeColor="text1"/>
          <w:u w:color="000000" w:themeColor="text1"/>
        </w:rPr>
        <w:t xml:space="preserve"> means a clinical rotation </w:t>
      </w:r>
      <w:r>
        <w:rPr>
          <w:color w:val="000000" w:themeColor="text1"/>
          <w:u w:color="000000" w:themeColor="text1"/>
        </w:rPr>
        <w:t xml:space="preserve">for a public teaching institution </w:t>
      </w:r>
      <w:r w:rsidRPr="005964EA">
        <w:rPr>
          <w:color w:val="000000" w:themeColor="text1"/>
          <w:u w:color="000000" w:themeColor="text1"/>
        </w:rPr>
        <w:t>which:</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4EA">
        <w:rPr>
          <w:color w:val="000000" w:themeColor="text1"/>
          <w:u w:color="000000" w:themeColor="text1"/>
        </w:rPr>
        <w:t xml:space="preserve">is established for a student who is enrolled in a South Carolina </w:t>
      </w:r>
      <w:r>
        <w:rPr>
          <w:color w:val="000000" w:themeColor="text1"/>
          <w:u w:color="000000" w:themeColor="text1"/>
        </w:rPr>
        <w:t xml:space="preserve">public </w:t>
      </w:r>
      <w:r w:rsidRPr="005964EA">
        <w:rPr>
          <w:color w:val="000000" w:themeColor="text1"/>
          <w:u w:color="000000" w:themeColor="text1"/>
        </w:rPr>
        <w:t xml:space="preserve">medical school, a South Carolina </w:t>
      </w:r>
      <w:r>
        <w:rPr>
          <w:color w:val="000000" w:themeColor="text1"/>
          <w:u w:color="000000" w:themeColor="text1"/>
        </w:rPr>
        <w:t xml:space="preserve">public </w:t>
      </w:r>
      <w:r w:rsidRPr="005964EA">
        <w:rPr>
          <w:color w:val="000000" w:themeColor="text1"/>
          <w:u w:color="000000" w:themeColor="text1"/>
        </w:rPr>
        <w:t xml:space="preserve">physician assistant program, or a South Carolina </w:t>
      </w:r>
      <w:r>
        <w:rPr>
          <w:color w:val="000000" w:themeColor="text1"/>
          <w:u w:color="000000" w:themeColor="text1"/>
        </w:rPr>
        <w:t xml:space="preserve">public </w:t>
      </w:r>
      <w:r w:rsidRPr="005964EA">
        <w:rPr>
          <w:color w:val="000000" w:themeColor="text1"/>
          <w:u w:color="000000" w:themeColor="text1"/>
        </w:rPr>
        <w:t>advanced pra</w:t>
      </w:r>
      <w:r>
        <w:rPr>
          <w:color w:val="000000" w:themeColor="text1"/>
          <w:u w:color="000000" w:themeColor="text1"/>
        </w:rPr>
        <w:t>ctice nursing</w:t>
      </w:r>
      <w:r w:rsidRPr="005964EA">
        <w:rPr>
          <w:color w:val="000000" w:themeColor="text1"/>
          <w:u w:color="000000" w:themeColor="text1"/>
        </w:rPr>
        <w:t xml:space="preserve"> program;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(b)</w:t>
      </w:r>
      <w:r w:rsidRPr="005964EA">
        <w:rPr>
          <w:color w:val="000000" w:themeColor="text1"/>
          <w:u w:color="000000" w:themeColor="text1"/>
        </w:rPr>
        <w:tab/>
        <w:t>includes a minimum of one hundred sixty hours of instruction in one of the following clinical settings: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w:t>
      </w:r>
      <w:r w:rsidRPr="005964EA">
        <w:rPr>
          <w:color w:val="000000" w:themeColor="text1"/>
          <w:u w:color="000000" w:themeColor="text1"/>
        </w:rPr>
        <w:tab/>
      </w:r>
      <w:r w:rsidRPr="005964EA">
        <w:rPr>
          <w:color w:val="000000" w:themeColor="text1"/>
          <w:u w:color="000000" w:themeColor="text1"/>
        </w:rPr>
        <w:tab/>
        <w:t>family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w:t>
      </w:r>
      <w:r w:rsidRPr="005964EA">
        <w:rPr>
          <w:color w:val="000000" w:themeColor="text1"/>
          <w:u w:color="000000" w:themeColor="text1"/>
        </w:rPr>
        <w:tab/>
        <w:t xml:space="preserve">internal medicine;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(iii)</w:t>
      </w:r>
      <w:r w:rsidRPr="005964EA">
        <w:rPr>
          <w:color w:val="000000" w:themeColor="text1"/>
          <w:u w:color="000000" w:themeColor="text1"/>
        </w:rPr>
        <w:tab/>
        <w:t>pediatrics;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(iv)</w:t>
      </w:r>
      <w:r w:rsidRPr="005964EA">
        <w:rPr>
          <w:color w:val="000000" w:themeColor="text1"/>
          <w:u w:color="000000" w:themeColor="text1"/>
        </w:rPr>
        <w:tab/>
        <w:t>obstetrics and gynecology;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w:t>
      </w:r>
      <w:r w:rsidRPr="005964EA">
        <w:rPr>
          <w:color w:val="000000" w:themeColor="text1"/>
          <w:u w:color="000000" w:themeColor="text1"/>
        </w:rPr>
        <w:tab/>
        <w:t>emergency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Pr>
          <w:color w:val="000000" w:themeColor="text1"/>
          <w:u w:color="000000" w:themeColor="text1"/>
        </w:rPr>
        <w:t>(vi)</w:t>
      </w:r>
      <w:r>
        <w:rPr>
          <w:color w:val="000000" w:themeColor="text1"/>
          <w:u w:color="000000" w:themeColor="text1"/>
        </w:rPr>
        <w:tab/>
        <w:t>psychiatry;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(vii)</w:t>
      </w:r>
      <w:r w:rsidRPr="005964EA">
        <w:rPr>
          <w:color w:val="000000" w:themeColor="text1"/>
          <w:u w:color="000000" w:themeColor="text1"/>
        </w:rPr>
        <w:tab/>
        <w:t>general surgery u</w:t>
      </w:r>
      <w:r>
        <w:rPr>
          <w:color w:val="000000" w:themeColor="text1"/>
          <w:u w:color="000000" w:themeColor="text1"/>
        </w:rPr>
        <w:t xml:space="preserve">nder the guidance of a </w:t>
      </w:r>
      <w:r w:rsidRPr="005964EA">
        <w:rPr>
          <w:color w:val="000000" w:themeColor="text1"/>
          <w:u w:color="000000" w:themeColor="text1"/>
        </w:rPr>
        <w:t xml:space="preserve">physician, advanced practice </w:t>
      </w:r>
      <w:r>
        <w:rPr>
          <w:color w:val="000000" w:themeColor="text1"/>
          <w:u w:color="000000" w:themeColor="text1"/>
        </w:rPr>
        <w:t xml:space="preserve">registered </w:t>
      </w:r>
      <w:r w:rsidRPr="005964EA">
        <w:rPr>
          <w:color w:val="000000" w:themeColor="text1"/>
          <w:u w:color="000000" w:themeColor="text1"/>
        </w:rPr>
        <w:t>nurse, or physician assistant.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(D)</w:t>
      </w:r>
      <w:r w:rsidRPr="005964EA">
        <w:rPr>
          <w:color w:val="000000" w:themeColor="text1"/>
          <w:u w:color="000000" w:themeColor="text1"/>
        </w:rPr>
        <w:tab/>
        <w:t>By March thirsty</w:t>
      </w:r>
      <w:r>
        <w:rPr>
          <w:color w:val="000000" w:themeColor="text1"/>
          <w:u w:color="000000" w:themeColor="text1"/>
        </w:rPr>
        <w:noBreakHyphen/>
      </w:r>
      <w:r w:rsidRPr="005964EA">
        <w:rPr>
          <w:color w:val="000000" w:themeColor="text1"/>
          <w:u w:color="000000" w:themeColor="text1"/>
        </w:rPr>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(E)</w:t>
      </w:r>
      <w:r w:rsidRPr="005964EA">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Default="000B2A5C"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lastRenderedPageBreak/>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9060A2" w:rsidRDefault="000B2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240" w:rsidRDefault="00766240" w:rsidP="00766240">
      <w:pPr>
        <w:suppressAutoHyphens/>
      </w:pPr>
    </w:p>
    <w:sectPr w:rsidR="00766240" w:rsidSect="00AE0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1C" w:rsidRDefault="00AE0C1C" w:rsidP="009F0C77">
      <w:r>
        <w:separator/>
      </w:r>
    </w:p>
  </w:endnote>
  <w:endnote w:type="continuationSeparator" w:id="0">
    <w:p w:rsidR="00AE0C1C" w:rsidRDefault="00AE0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2F1FE5-BB85-481C-844F-AF1203F8AA7D}"/>
    <w:embedBold r:id="rId2" w:fontKey="{37FF65BA-E461-4BE2-9690-6499B801213B}"/>
    <w:embedItalic r:id="rId3" w:fontKey="{FE7F07D1-798D-44E4-8F6F-9772AD0E05C4}"/>
  </w:font>
  <w:font w:name="Calibri">
    <w:panose1 w:val="020F0502020204030204"/>
    <w:charset w:val="00"/>
    <w:family w:val="swiss"/>
    <w:pitch w:val="variable"/>
    <w:sig w:usb0="E00002FF" w:usb1="4000ACFF" w:usb2="00000001" w:usb3="00000000" w:csb0="0000019F" w:csb1="00000000"/>
    <w:embedRegular r:id="rId4" w:fontKey="{2DD74E0B-49DE-4468-90B5-2CBE67CACE78}"/>
    <w:embedBold r:id="rId5" w:fontKey="{96457961-D91F-4BD9-A22D-48CD453F554B}"/>
    <w:embedItalic r:id="rId6" w:fontKey="{78B97E05-CF84-4923-BA57-E0CDC6024551}"/>
  </w:font>
  <w:font w:name="Cambria">
    <w:panose1 w:val="02040503050406030204"/>
    <w:charset w:val="00"/>
    <w:family w:val="roman"/>
    <w:pitch w:val="variable"/>
    <w:sig w:usb0="E00002FF" w:usb1="400004FF" w:usb2="00000000" w:usb3="00000000" w:csb0="0000019F" w:csb1="00000000"/>
    <w:embedRegular r:id="rId7" w:fontKey="{F60EF22B-6A8E-4B28-9BAC-2BED646159FE}"/>
  </w:font>
  <w:font w:name="Segoe UI">
    <w:panose1 w:val="020B0502040204020203"/>
    <w:charset w:val="00"/>
    <w:family w:val="swiss"/>
    <w:pitch w:val="variable"/>
    <w:sig w:usb0="E10022FF" w:usb1="C000E47F" w:usb2="00000029" w:usb3="00000000" w:csb0="000001DF" w:csb1="00000000"/>
    <w:embedRegular r:id="rId8" w:fontKey="{B4AD7212-CAA9-4B8A-A5C3-D318FD206D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766240">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76624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1C" w:rsidRDefault="00AE0C1C" w:rsidP="009F0C77">
      <w:r>
        <w:separator/>
      </w:r>
    </w:p>
  </w:footnote>
  <w:footnote w:type="continuationSeparator" w:id="0">
    <w:p w:rsidR="00AE0C1C" w:rsidRDefault="00AE0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39F2"/>
    <w:rsid w:val="001023A4"/>
    <w:rsid w:val="0010776B"/>
    <w:rsid w:val="00133E66"/>
    <w:rsid w:val="00134ACF"/>
    <w:rsid w:val="00144E15"/>
    <w:rsid w:val="001A4A62"/>
    <w:rsid w:val="001A681E"/>
    <w:rsid w:val="001D08F2"/>
    <w:rsid w:val="001D7345"/>
    <w:rsid w:val="002037CA"/>
    <w:rsid w:val="002047A2"/>
    <w:rsid w:val="002321B6"/>
    <w:rsid w:val="0023696B"/>
    <w:rsid w:val="00250967"/>
    <w:rsid w:val="002759C5"/>
    <w:rsid w:val="00277DEE"/>
    <w:rsid w:val="00280D88"/>
    <w:rsid w:val="00294ABE"/>
    <w:rsid w:val="002A3EB4"/>
    <w:rsid w:val="002E4981"/>
    <w:rsid w:val="00325348"/>
    <w:rsid w:val="00380CB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24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506D6"/>
    <w:rsid w:val="00990668"/>
    <w:rsid w:val="009B397B"/>
    <w:rsid w:val="009F0C77"/>
    <w:rsid w:val="009F4DD1"/>
    <w:rsid w:val="00A64E80"/>
    <w:rsid w:val="00A72D98"/>
    <w:rsid w:val="00A741D9"/>
    <w:rsid w:val="00A85589"/>
    <w:rsid w:val="00A9741D"/>
    <w:rsid w:val="00AB0576"/>
    <w:rsid w:val="00AD4B17"/>
    <w:rsid w:val="00AE0C1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A0C"/>
    <w:rsid w:val="00D6260D"/>
    <w:rsid w:val="00D6662B"/>
    <w:rsid w:val="00D95E2F"/>
    <w:rsid w:val="00D970A9"/>
    <w:rsid w:val="00DB3AC0"/>
    <w:rsid w:val="00DC595D"/>
    <w:rsid w:val="00DC6813"/>
    <w:rsid w:val="00DE1A9B"/>
    <w:rsid w:val="00DE68F0"/>
    <w:rsid w:val="00DF3845"/>
    <w:rsid w:val="00DF7E17"/>
    <w:rsid w:val="00E556F2"/>
    <w:rsid w:val="00EB00A2"/>
    <w:rsid w:val="00EB1BF3"/>
    <w:rsid w:val="00EF3EEE"/>
    <w:rsid w:val="00F149A7"/>
    <w:rsid w:val="00F50BAF"/>
    <w:rsid w:val="00F52C10"/>
    <w:rsid w:val="00F81FFD"/>
    <w:rsid w:val="00F85228"/>
    <w:rsid w:val="00F907F7"/>
    <w:rsid w:val="00FB6773"/>
    <w:rsid w:val="00F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E0C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E0C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2EDCDD35084CBF94B91F0A830CE053"/>
        <w:category>
          <w:name w:val="General"/>
          <w:gallery w:val="placeholder"/>
        </w:category>
        <w:types>
          <w:type w:val="bbPlcHdr"/>
        </w:types>
        <w:behaviors>
          <w:behavior w:val="content"/>
        </w:behaviors>
        <w:guid w:val="{A7CB5B63-D8C5-45DD-B311-FEDDD44BFF30}"/>
      </w:docPartPr>
      <w:docPartBody>
        <w:p w:rsidR="000B4A44" w:rsidRDefault="003B5E66" w:rsidP="003B5E66">
          <w:pPr>
            <w:pStyle w:val="CF2EDCDD35084CBF94B91F0A830CE053"/>
          </w:pPr>
          <w:r w:rsidRPr="00AB1D74">
            <w:rPr>
              <w:rStyle w:val="PlaceholderText"/>
            </w:rPr>
            <w:t>Click here to enter text.</w:t>
          </w:r>
        </w:p>
      </w:docPartBody>
    </w:docPart>
    <w:docPart>
      <w:docPartPr>
        <w:name w:val="3C75E5F86BD244AC9E2CADB962BFE80D"/>
        <w:category>
          <w:name w:val="General"/>
          <w:gallery w:val="placeholder"/>
        </w:category>
        <w:types>
          <w:type w:val="bbPlcHdr"/>
        </w:types>
        <w:behaviors>
          <w:behavior w:val="content"/>
        </w:behaviors>
        <w:guid w:val="{FB99E92F-3107-41F5-8A2E-890FB790AEFA}"/>
      </w:docPartPr>
      <w:docPartBody>
        <w:p w:rsidR="000B4A44" w:rsidRDefault="003B5E66" w:rsidP="003B5E66">
          <w:pPr>
            <w:pStyle w:val="3C75E5F86BD244AC9E2CADB962BFE80D"/>
          </w:pPr>
          <w:r>
            <w:rPr>
              <w:rFonts w:ascii="Times New Roman" w:eastAsia="Calibri" w:hAnsi="Times New Roman" w:cs="Times New Roman"/>
              <w:color w:val="808080" w:themeColor="background1" w:themeShade="80"/>
            </w:rPr>
            <w:t xml:space="preserve"> Choose bill action.</w:t>
          </w:r>
        </w:p>
      </w:docPartBody>
    </w:docPart>
    <w:docPart>
      <w:docPartPr>
        <w:name w:val="F65EB08B24AD4AF89B0C5FB445220B4F"/>
        <w:category>
          <w:name w:val="General"/>
          <w:gallery w:val="placeholder"/>
        </w:category>
        <w:types>
          <w:type w:val="bbPlcHdr"/>
        </w:types>
        <w:behaviors>
          <w:behavior w:val="content"/>
        </w:behaviors>
        <w:guid w:val="{3BD0B0CF-1FF4-40C5-8743-BD705C342062}"/>
      </w:docPartPr>
      <w:docPartBody>
        <w:p w:rsidR="000B4A44" w:rsidRDefault="003B5E66" w:rsidP="003B5E66">
          <w:pPr>
            <w:pStyle w:val="F65EB08B24AD4AF89B0C5FB445220B4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E66"/>
    <w:rsid w:val="000B4A44"/>
    <w:rsid w:val="003B5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E66"/>
    <w:rPr>
      <w:color w:val="808080"/>
    </w:rPr>
  </w:style>
  <w:style w:type="paragraph" w:customStyle="1" w:styleId="74A7D9201AFC4EB09D9EDA1A6B06876A">
    <w:name w:val="74A7D9201AFC4EB09D9EDA1A6B06876A"/>
    <w:rsid w:val="003B5E66"/>
  </w:style>
  <w:style w:type="paragraph" w:customStyle="1" w:styleId="5C01C191BFEC42CCB9FE79DE987CA1AB">
    <w:name w:val="5C01C191BFEC42CCB9FE79DE987CA1AB"/>
    <w:rsid w:val="003B5E66"/>
  </w:style>
  <w:style w:type="paragraph" w:customStyle="1" w:styleId="7C09900947C847748DF109E6C2FA862E">
    <w:name w:val="7C09900947C847748DF109E6C2FA862E"/>
    <w:rsid w:val="003B5E66"/>
  </w:style>
  <w:style w:type="paragraph" w:customStyle="1" w:styleId="8417AA88B5F042A5806A3F1F9181442C">
    <w:name w:val="8417AA88B5F042A5806A3F1F9181442C"/>
    <w:rsid w:val="003B5E66"/>
  </w:style>
  <w:style w:type="paragraph" w:customStyle="1" w:styleId="826FF8B390264F0489A5400A0D01638A">
    <w:name w:val="826FF8B390264F0489A5400A0D01638A"/>
    <w:rsid w:val="003B5E66"/>
  </w:style>
  <w:style w:type="paragraph" w:customStyle="1" w:styleId="1D772B272AEF4E5BB4DFD822CFF5517A">
    <w:name w:val="1D772B272AEF4E5BB4DFD822CFF5517A"/>
    <w:rsid w:val="003B5E66"/>
  </w:style>
  <w:style w:type="paragraph" w:customStyle="1" w:styleId="CF2EDCDD35084CBF94B91F0A830CE053">
    <w:name w:val="CF2EDCDD35084CBF94B91F0A830CE053"/>
    <w:rsid w:val="003B5E66"/>
  </w:style>
  <w:style w:type="paragraph" w:customStyle="1" w:styleId="3C75E5F86BD244AC9E2CADB962BFE80D">
    <w:name w:val="3C75E5F86BD244AC9E2CADB962BFE80D"/>
    <w:rsid w:val="003B5E66"/>
  </w:style>
  <w:style w:type="paragraph" w:customStyle="1" w:styleId="F65EB08B24AD4AF89B0C5FB445220B4F">
    <w:name w:val="F65EB08B24AD4AF89B0C5FB445220B4F"/>
    <w:rsid w:val="003B5E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EF6CA-3698-4674-9980-9821AC94C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61C668DF.dotm</Template>
  <TotalTime>0</TotalTime>
  <Pages>16</Pages>
  <Words>4768</Words>
  <Characters>25742</Characters>
  <Application>Microsoft Office Word</Application>
  <DocSecurity>0</DocSecurity>
  <Lines>665</Lines>
  <Paragraphs>237</Paragraphs>
  <ScaleCrop>false</ScaleCrop>
  <HeadingPairs>
    <vt:vector size="2" baseType="variant">
      <vt:variant>
        <vt:lpstr>Title</vt:lpstr>
      </vt:variant>
      <vt:variant>
        <vt:i4>1</vt:i4>
      </vt:variant>
    </vt:vector>
  </HeadingPairs>
  <TitlesOfParts>
    <vt:vector size="1" baseType="lpstr">
      <vt:lpstr>2017-2018 Bill 351 Text of Previous Version (Feb. 2, 2017) - South Carolina Legislature Online</vt:lpstr>
    </vt:vector>
  </TitlesOfParts>
  <Company> </Company>
  <LinksUpToDate>false</LinksUpToDate>
  <CharactersWithSpaces>31226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Text of Previous Version (Feb. 23, 2017) - South Carolina Legislature Online</dc:title>
  <dc:subject/>
  <dc:creator>BRENDA MELTON</dc:creator>
  <cp:keywords/>
  <dc:description/>
  <cp:lastModifiedBy>Lavarres Lynch</cp:lastModifiedBy>
  <cp:revision>2</cp:revision>
  <cp:lastPrinted>2017-01-30T13:53:00Z</cp:lastPrinted>
  <dcterms:created xsi:type="dcterms:W3CDTF">2017-02-23T21:33:00Z</dcterms:created>
  <dcterms:modified xsi:type="dcterms:W3CDTF">2017-02-23T21:33:00Z</dcterms:modified>
</cp:coreProperties>
</file>