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C7" w:rsidRDefault="00BC38C7" w:rsidP="00BC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38C7" w:rsidRPr="00E856D5" w:rsidRDefault="00BC38C7" w:rsidP="00BC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41C9" w:rsidRDefault="009C41C9"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C38C7" w:rsidRPr="009C41C9" w:rsidRDefault="00BC38C7" w:rsidP="00BC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rsidRPr="009C41C9">
        <w:t>CONFERENCE COMMITTEE REPORT ADOPTED -- NOT PRINTED</w:t>
      </w:r>
    </w:p>
    <w:p w:rsidR="00BC38C7" w:rsidRPr="009C41C9" w:rsidRDefault="00BC38C7" w:rsidP="00BC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1C9">
        <w:t>February 21, 2018</w:t>
      </w:r>
    </w:p>
    <w:p w:rsidR="0091092F" w:rsidRPr="0091092F" w:rsidRDefault="0091092F" w:rsidP="0091092F">
      <w:pPr>
        <w:tabs>
          <w:tab w:val="right" w:pos="5933"/>
        </w:tabs>
        <w:suppressAutoHyphens/>
      </w:pPr>
      <w:r>
        <w:tab/>
      </w:r>
      <w:r>
        <w:rPr>
          <w:b/>
          <w:sz w:val="36"/>
        </w:rPr>
        <w:t>H. 3649</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5A3DE1">
      <w:pPr>
        <w:tabs>
          <w:tab w:val="right" w:pos="5933"/>
        </w:tabs>
        <w:suppressAutoHyphens/>
      </w:pPr>
      <w:r>
        <w:t xml:space="preserve">S. Printed </w:t>
      </w:r>
      <w:r w:rsidR="000F73E1">
        <w:t>5/9</w:t>
      </w:r>
      <w:r>
        <w:t>/17--S.</w:t>
      </w:r>
      <w:r w:rsidR="005A3DE1">
        <w:tab/>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91092F" w:rsidRDefault="0091092F"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2F"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DF6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p>
    <w:p w:rsidR="000F73E1" w:rsidRDefault="000F7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5E3FCB">
        <w:rPr>
          <w:rFonts w:eastAsia="Calibri"/>
          <w:snapToGrid w:val="0"/>
          <w:szCs w:val="22"/>
        </w:rPr>
        <w:t>SECTION</w:t>
      </w:r>
      <w:r w:rsidRPr="005E3FCB">
        <w:rPr>
          <w:rFonts w:eastAsia="Calibri"/>
          <w:snapToGrid w:val="0"/>
          <w:szCs w:val="22"/>
        </w:rPr>
        <w:tab/>
        <w:t>1.</w:t>
      </w:r>
      <w:r w:rsidRPr="005E3FCB">
        <w:rPr>
          <w:rFonts w:eastAsia="Calibri"/>
          <w:snapToGrid w:val="0"/>
          <w:szCs w:val="22"/>
        </w:rPr>
        <w:tab/>
      </w:r>
      <w:r w:rsidRPr="005E3FCB">
        <w:rPr>
          <w:rFonts w:eastAsia="Calibri"/>
          <w:color w:val="000000"/>
          <w:szCs w:val="24"/>
          <w:u w:color="000000"/>
        </w:rPr>
        <w:t>Section 40</w:t>
      </w:r>
      <w:r w:rsidRPr="005E3FCB">
        <w:rPr>
          <w:rFonts w:eastAsia="Calibri"/>
          <w:color w:val="000000"/>
          <w:szCs w:val="24"/>
          <w:u w:color="000000"/>
        </w:rPr>
        <w:noBreakHyphen/>
        <w:t>3</w:t>
      </w:r>
      <w:r w:rsidRPr="005E3FCB">
        <w:rPr>
          <w:rFonts w:eastAsia="Calibri"/>
          <w:color w:val="000000"/>
          <w:szCs w:val="24"/>
          <w:u w:color="000000"/>
        </w:rPr>
        <w:noBreakHyphen/>
        <w:t>60 of the 1976 Code is amended to read:</w:t>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5E3FCB">
        <w:rPr>
          <w:rFonts w:eastAsia="Calibri"/>
          <w:color w:val="000000"/>
          <w:szCs w:val="24"/>
          <w:u w:color="000000"/>
        </w:rPr>
        <w:tab/>
        <w:t>“Section 40</w:t>
      </w:r>
      <w:r w:rsidRPr="005E3FCB">
        <w:rPr>
          <w:rFonts w:eastAsia="Calibri"/>
          <w:color w:val="000000"/>
          <w:szCs w:val="24"/>
          <w:u w:color="000000"/>
        </w:rPr>
        <w:noBreakHyphen/>
        <w:t>3</w:t>
      </w:r>
      <w:r w:rsidRPr="005E3FCB">
        <w:rPr>
          <w:rFonts w:eastAsia="Calibri"/>
          <w:color w:val="000000"/>
          <w:szCs w:val="24"/>
          <w:u w:color="000000"/>
        </w:rPr>
        <w:noBreakHyphen/>
        <w:t>60.</w:t>
      </w:r>
      <w:r w:rsidRPr="005E3FCB">
        <w:rPr>
          <w:rFonts w:eastAsia="Calibri"/>
          <w:color w:val="000000"/>
          <w:szCs w:val="24"/>
          <w:u w:color="000000"/>
        </w:rPr>
        <w:tab/>
      </w:r>
      <w:r w:rsidRPr="005E3FCB">
        <w:rPr>
          <w:rFonts w:eastAsia="Calibri"/>
          <w:color w:val="000000"/>
          <w:szCs w:val="24"/>
          <w:u w:val="single" w:color="000000"/>
        </w:rPr>
        <w:t>(A)</w:t>
      </w:r>
      <w:r w:rsidRPr="005E3FCB">
        <w:rPr>
          <w:rFonts w:eastAsia="Calibri"/>
          <w:color w:val="000000"/>
          <w:szCs w:val="24"/>
          <w:u w:color="000000"/>
        </w:rPr>
        <w:tab/>
        <w:t xml:space="preserve">The board may adopt rules governing its proceedings and shall elect a chairman, </w:t>
      </w:r>
      <w:r w:rsidRPr="005E3FCB">
        <w:rPr>
          <w:rFonts w:eastAsia="Calibri"/>
          <w:strike/>
          <w:color w:val="000000"/>
          <w:szCs w:val="24"/>
          <w:u w:color="000000"/>
        </w:rPr>
        <w:t>vice</w:t>
      </w:r>
      <w:r w:rsidRPr="005E3FCB">
        <w:rPr>
          <w:rFonts w:eastAsia="Calibri"/>
          <w:strike/>
          <w:color w:val="000000"/>
          <w:szCs w:val="24"/>
          <w:u w:color="000000"/>
        </w:rPr>
        <w:noBreakHyphen/>
        <w:t>chairman</w:t>
      </w:r>
      <w:r w:rsidRPr="005E3FCB">
        <w:rPr>
          <w:rFonts w:eastAsia="Calibri"/>
          <w:color w:val="000000"/>
          <w:szCs w:val="24"/>
          <w:u w:color="000000"/>
        </w:rPr>
        <w:t xml:space="preserve"> </w:t>
      </w:r>
      <w:r w:rsidRPr="005E3FCB">
        <w:rPr>
          <w:rFonts w:eastAsia="Calibri"/>
          <w:color w:val="000000"/>
          <w:szCs w:val="24"/>
          <w:u w:val="single" w:color="000000"/>
        </w:rPr>
        <w:t>vice chairman</w:t>
      </w:r>
      <w:r w:rsidRPr="005E3FCB">
        <w:rPr>
          <w:rFonts w:eastAsia="Calibri"/>
          <w:color w:val="000000"/>
          <w:szCs w:val="24"/>
          <w:u w:color="000000"/>
        </w:rPr>
        <w:t>, and secretary who shall serve a term of one year. The board may promulgate regulations necessary to carry out the provisions of this chapter and shall adopt a seal with which all its official documents must be sealed.</w:t>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5E3FCB">
        <w:rPr>
          <w:rFonts w:eastAsia="Calibri"/>
          <w:color w:val="000000"/>
          <w:szCs w:val="24"/>
        </w:rPr>
        <w:tab/>
      </w:r>
      <w:r w:rsidRPr="005E3FCB">
        <w:rPr>
          <w:rFonts w:eastAsia="Calibri"/>
          <w:color w:val="000000"/>
          <w:szCs w:val="24"/>
          <w:u w:val="single" w:color="000000"/>
        </w:rPr>
        <w:t>(B)</w:t>
      </w:r>
      <w:r w:rsidRPr="005E3FCB">
        <w:rPr>
          <w:rFonts w:eastAsia="Calibri"/>
          <w:color w:val="000000"/>
          <w:szCs w:val="24"/>
          <w:u w:color="000000"/>
        </w:rPr>
        <w:tab/>
      </w:r>
      <w:r w:rsidRPr="005E3FCB">
        <w:rPr>
          <w:rFonts w:eastAsia="Calibri"/>
          <w:color w:val="000000"/>
          <w:szCs w:val="24"/>
          <w:u w:val="single" w:color="000000"/>
        </w:rPr>
        <w:t>The board may advise and recommend action to the department in the development of statutory revisions and other matters as the department may request in regard to the administration of this chapter.</w:t>
      </w:r>
      <w:r w:rsidRPr="005E3FCB">
        <w:rPr>
          <w:rFonts w:eastAsia="Calibri"/>
          <w:color w:val="000000"/>
          <w:szCs w:val="24"/>
        </w:rPr>
        <w:t>”</w:t>
      </w: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rPr>
      </w:pP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5E3FCB">
        <w:rPr>
          <w:rFonts w:eastAsia="Calibri"/>
          <w:color w:val="000000"/>
          <w:szCs w:val="24"/>
        </w:rPr>
        <w:t>SECTION</w:t>
      </w:r>
      <w:r w:rsidRPr="005E3FCB">
        <w:rPr>
          <w:rFonts w:eastAsia="Calibri"/>
          <w:color w:val="000000"/>
          <w:szCs w:val="24"/>
        </w:rPr>
        <w:tab/>
      </w:r>
      <w:r w:rsidRPr="005E3FCB">
        <w:rPr>
          <w:rFonts w:eastAsia="Calibri"/>
          <w:snapToGrid w:val="0"/>
          <w:szCs w:val="22"/>
        </w:rPr>
        <w:t>2.</w:t>
      </w:r>
      <w:r w:rsidRPr="005E3FCB">
        <w:rPr>
          <w:rFonts w:eastAsia="Calibri"/>
          <w:snapToGrid w:val="0"/>
          <w:szCs w:val="22"/>
        </w:rPr>
        <w:tab/>
      </w:r>
      <w:r w:rsidRPr="005E3FCB">
        <w:rPr>
          <w:rFonts w:eastAsia="Calibri"/>
          <w:color w:val="000000"/>
          <w:szCs w:val="24"/>
          <w:u w:color="000000"/>
        </w:rPr>
        <w:t>Section 40</w:t>
      </w:r>
      <w:r w:rsidRPr="005E3FCB">
        <w:rPr>
          <w:rFonts w:eastAsia="Calibri"/>
          <w:color w:val="000000"/>
          <w:szCs w:val="24"/>
          <w:u w:color="000000"/>
        </w:rPr>
        <w:noBreakHyphen/>
        <w:t>3</w:t>
      </w:r>
      <w:r w:rsidRPr="005E3FCB">
        <w:rPr>
          <w:rFonts w:eastAsia="Calibri"/>
          <w:color w:val="000000"/>
          <w:szCs w:val="24"/>
          <w:u w:color="000000"/>
        </w:rPr>
        <w:noBreakHyphen/>
        <w:t>115 of the 1976 Code is amended to read:</w:t>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4"/>
          <w:u w:color="000000"/>
        </w:rPr>
      </w:pPr>
      <w:r w:rsidRPr="005E3FCB">
        <w:rPr>
          <w:rFonts w:eastAsia="Calibri"/>
          <w:color w:val="000000"/>
          <w:szCs w:val="24"/>
          <w:u w:color="000000"/>
        </w:rPr>
        <w:tab/>
        <w:t>“Section 40</w:t>
      </w:r>
      <w:r w:rsidRPr="005E3FCB">
        <w:rPr>
          <w:rFonts w:eastAsia="Calibri"/>
          <w:color w:val="000000"/>
          <w:szCs w:val="24"/>
          <w:u w:color="000000"/>
        </w:rPr>
        <w:noBreakHyphen/>
        <w:t>3</w:t>
      </w:r>
      <w:r w:rsidRPr="005E3FCB">
        <w:rPr>
          <w:rFonts w:eastAsia="Calibri"/>
          <w:color w:val="000000"/>
          <w:szCs w:val="24"/>
          <w:u w:color="000000"/>
        </w:rPr>
        <w:noBreakHyphen/>
        <w:t>115.</w:t>
      </w:r>
      <w:r w:rsidRPr="005E3FCB">
        <w:rPr>
          <w:rFonts w:eastAsia="Calibri"/>
          <w:color w:val="000000"/>
          <w:szCs w:val="24"/>
          <w:u w:color="000000"/>
        </w:rPr>
        <w:tab/>
        <w:t>The board has jurisdiction</w:t>
      </w:r>
      <w:r w:rsidRPr="005E3FCB">
        <w:rPr>
          <w:rFonts w:eastAsia="Calibri"/>
          <w:color w:val="000000"/>
          <w:szCs w:val="24"/>
          <w:u w:val="single" w:color="000000"/>
        </w:rPr>
        <w:t>:</w:t>
      </w:r>
      <w:r w:rsidRPr="005E3FCB">
        <w:rPr>
          <w:rFonts w:eastAsia="Calibri"/>
          <w:color w:val="000000"/>
          <w:szCs w:val="24"/>
          <w:u w:color="000000"/>
        </w:rPr>
        <w:t xml:space="preserve"> </w:t>
      </w:r>
      <w:r w:rsidRPr="005E3FCB">
        <w:rPr>
          <w:rFonts w:eastAsia="Calibri"/>
          <w:strike/>
          <w:color w:val="000000"/>
          <w:szCs w:val="24"/>
          <w:u w:color="000000"/>
        </w:rPr>
        <w:t>over the actions of licensees and former licensees as provided in Section 40</w:t>
      </w:r>
      <w:r w:rsidRPr="005E3FCB">
        <w:rPr>
          <w:rFonts w:eastAsia="Calibri"/>
          <w:strike/>
          <w:color w:val="000000"/>
          <w:szCs w:val="24"/>
          <w:u w:color="000000"/>
        </w:rPr>
        <w:noBreakHyphen/>
        <w:t>1</w:t>
      </w:r>
      <w:r w:rsidRPr="005E3FCB">
        <w:rPr>
          <w:rFonts w:eastAsia="Calibri"/>
          <w:strike/>
          <w:color w:val="000000"/>
          <w:szCs w:val="24"/>
          <w:u w:color="000000"/>
        </w:rPr>
        <w:noBreakHyphen/>
        <w:t>115</w:t>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5E3FCB">
        <w:rPr>
          <w:rFonts w:eastAsia="Calibri"/>
          <w:color w:val="000000"/>
          <w:szCs w:val="24"/>
        </w:rPr>
        <w:tab/>
      </w:r>
      <w:r w:rsidRPr="005E3FCB">
        <w:rPr>
          <w:rFonts w:eastAsia="Calibri"/>
          <w:color w:val="000000"/>
          <w:szCs w:val="24"/>
          <w:u w:val="single" w:color="000000"/>
        </w:rPr>
        <w:t>(1)</w:t>
      </w:r>
      <w:r w:rsidRPr="005E3FCB">
        <w:rPr>
          <w:rFonts w:eastAsia="Calibri"/>
          <w:color w:val="000000"/>
          <w:szCs w:val="24"/>
          <w:u w:color="000000"/>
        </w:rPr>
        <w:tab/>
      </w:r>
      <w:r w:rsidRPr="005E3FCB">
        <w:rPr>
          <w:rFonts w:eastAsia="Calibri"/>
          <w:color w:val="000000"/>
          <w:szCs w:val="24"/>
          <w:u w:val="single" w:color="000000"/>
        </w:rPr>
        <w:t xml:space="preserve">over practice undertaken by </w:t>
      </w:r>
      <w:proofErr w:type="spellStart"/>
      <w:r w:rsidRPr="005E3FCB">
        <w:rPr>
          <w:rFonts w:eastAsia="Calibri"/>
          <w:color w:val="000000"/>
          <w:szCs w:val="24"/>
          <w:u w:val="single" w:color="000000"/>
        </w:rPr>
        <w:t>nonlicensed</w:t>
      </w:r>
      <w:proofErr w:type="spellEnd"/>
      <w:r w:rsidRPr="005E3FCB">
        <w:rPr>
          <w:rFonts w:eastAsia="Calibri"/>
          <w:color w:val="000000"/>
          <w:szCs w:val="24"/>
          <w:u w:val="single" w:color="000000"/>
        </w:rPr>
        <w:t xml:space="preserve"> individuals and firms and the actions committed or omitted by current and former licensees during the entire period of licensure; and</w:t>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E3FCB">
        <w:rPr>
          <w:rFonts w:eastAsia="Calibri"/>
          <w:color w:val="000000"/>
          <w:szCs w:val="24"/>
        </w:rPr>
        <w:tab/>
      </w:r>
      <w:r w:rsidRPr="005E3FCB">
        <w:rPr>
          <w:rFonts w:eastAsia="Calibri"/>
          <w:color w:val="000000"/>
          <w:szCs w:val="24"/>
          <w:u w:val="single" w:color="000000"/>
        </w:rPr>
        <w:t>(2)</w:t>
      </w:r>
      <w:r w:rsidRPr="005E3FCB">
        <w:rPr>
          <w:rFonts w:eastAsia="Calibri"/>
          <w:color w:val="000000"/>
          <w:szCs w:val="24"/>
          <w:u w:color="000000"/>
        </w:rPr>
        <w:tab/>
      </w:r>
      <w:r w:rsidRPr="005E3FCB">
        <w:rPr>
          <w:rFonts w:eastAsia="Calibri"/>
          <w:color w:val="000000"/>
          <w:szCs w:val="24"/>
          <w:u w:val="single" w:color="000000"/>
        </w:rPr>
        <w:t>to act on any matter that arises during the practice authorization period of licensed practitioners and firms, as provided for in Section 40</w:t>
      </w:r>
      <w:r w:rsidRPr="005E3FCB">
        <w:rPr>
          <w:rFonts w:eastAsia="Calibri"/>
          <w:color w:val="000000"/>
          <w:szCs w:val="24"/>
          <w:u w:val="single" w:color="000000"/>
        </w:rPr>
        <w:noBreakHyphen/>
        <w:t>1</w:t>
      </w:r>
      <w:r w:rsidRPr="005E3FCB">
        <w:rPr>
          <w:rFonts w:eastAsia="Calibri"/>
          <w:color w:val="000000"/>
          <w:szCs w:val="24"/>
          <w:u w:val="single" w:color="000000"/>
        </w:rPr>
        <w:noBreakHyphen/>
        <w:t>115</w:t>
      </w:r>
      <w:r w:rsidRPr="005E3FCB">
        <w:rPr>
          <w:rFonts w:eastAsia="Calibri"/>
          <w:color w:val="000000"/>
          <w:szCs w:val="24"/>
          <w:u w:color="000000"/>
        </w:rPr>
        <w:t>.</w:t>
      </w:r>
      <w:r w:rsidRPr="005E3FCB">
        <w:rPr>
          <w:rFonts w:eastAsia="Calibri"/>
          <w:color w:val="000000"/>
          <w:szCs w:val="24"/>
        </w:rPr>
        <w:t>”</w:t>
      </w: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E3FCB">
        <w:rPr>
          <w:rFonts w:eastAsia="Calibri"/>
          <w:snapToGrid w:val="0"/>
          <w:szCs w:val="22"/>
        </w:rPr>
        <w:t>SECTION</w:t>
      </w:r>
      <w:r w:rsidRPr="005E3FCB">
        <w:rPr>
          <w:rFonts w:eastAsia="Calibri"/>
          <w:snapToGrid w:val="0"/>
          <w:szCs w:val="22"/>
        </w:rPr>
        <w:tab/>
        <w:t>3.</w:t>
      </w:r>
      <w:r w:rsidRPr="005E3FCB">
        <w:rPr>
          <w:rFonts w:eastAsia="Calibri"/>
          <w:snapToGrid w:val="0"/>
          <w:szCs w:val="22"/>
        </w:rPr>
        <w:tab/>
      </w:r>
      <w:r w:rsidRPr="005E3FCB">
        <w:rPr>
          <w:rFonts w:eastAsia="Calibri"/>
          <w:szCs w:val="22"/>
        </w:rPr>
        <w:t>Section 40</w:t>
      </w:r>
      <w:r w:rsidRPr="005E3FCB">
        <w:rPr>
          <w:rFonts w:eastAsia="Calibri"/>
          <w:szCs w:val="22"/>
        </w:rPr>
        <w:noBreakHyphen/>
        <w:t>22</w:t>
      </w:r>
      <w:r w:rsidRPr="005E3FCB">
        <w:rPr>
          <w:rFonts w:eastAsia="Calibri"/>
          <w:szCs w:val="22"/>
        </w:rPr>
        <w:noBreakHyphen/>
        <w:t>280(B)(2) of the 1976 Code, as last amended by Act 259 of 2016, is further amended to read:</w:t>
      </w:r>
    </w:p>
    <w:p w:rsidR="00974892" w:rsidRDefault="00974892"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E3FCB">
        <w:rPr>
          <w:rFonts w:eastAsia="Calibri"/>
          <w:szCs w:val="22"/>
        </w:rPr>
        <w:tab/>
        <w:t>“(2)</w:t>
      </w:r>
      <w:r w:rsidRPr="005E3FCB">
        <w:rPr>
          <w:rFonts w:eastAsia="Calibri"/>
          <w:szCs w:val="22"/>
        </w:rPr>
        <w:tab/>
        <w:t xml:space="preserve">buildings and structures </w:t>
      </w:r>
      <w:r w:rsidRPr="005E3FCB">
        <w:rPr>
          <w:rFonts w:eastAsia="Calibri"/>
          <w:strike/>
          <w:szCs w:val="22"/>
        </w:rPr>
        <w:t>not requiring a permit by the authority having jurisdiction</w:t>
      </w:r>
      <w:r w:rsidRPr="005E3FCB">
        <w:rPr>
          <w:rFonts w:eastAsia="Calibri"/>
          <w:szCs w:val="22"/>
        </w:rPr>
        <w:t xml:space="preserve"> </w:t>
      </w:r>
      <w:r w:rsidRPr="005E3FCB">
        <w:rPr>
          <w:rFonts w:eastAsia="Calibri"/>
          <w:szCs w:val="22"/>
          <w:u w:val="single"/>
        </w:rPr>
        <w:t>less than three stories high and less than five thousand square feet in area</w:t>
      </w:r>
      <w:r w:rsidRPr="005E3FCB">
        <w:rPr>
          <w:rFonts w:eastAsia="Calibri"/>
          <w:szCs w:val="22"/>
        </w:rPr>
        <w:t xml:space="preserve">, except that buildings and structures classified as assembly, </w:t>
      </w:r>
      <w:r w:rsidRPr="005E3FCB">
        <w:rPr>
          <w:rFonts w:eastAsia="Calibri"/>
          <w:strike/>
          <w:szCs w:val="22"/>
        </w:rPr>
        <w:t>business,</w:t>
      </w:r>
      <w:r w:rsidRPr="005E3FCB">
        <w:rPr>
          <w:rFonts w:eastAsia="Calibri"/>
          <w:szCs w:val="22"/>
        </w:rPr>
        <w:t xml:space="preserve"> educational, </w:t>
      </w:r>
      <w:r w:rsidRPr="005E3FCB">
        <w:rPr>
          <w:rFonts w:eastAsia="Calibri"/>
          <w:strike/>
          <w:szCs w:val="22"/>
        </w:rPr>
        <w:t>factory and industrial,</w:t>
      </w:r>
      <w:r w:rsidRPr="005E3FCB">
        <w:rPr>
          <w:rFonts w:eastAsia="Calibri"/>
          <w:szCs w:val="22"/>
        </w:rPr>
        <w:t xml:space="preserve"> high hazard, institutional, </w:t>
      </w:r>
      <w:r w:rsidRPr="005E3FCB">
        <w:rPr>
          <w:rFonts w:eastAsia="Calibri"/>
          <w:strike/>
          <w:szCs w:val="22"/>
        </w:rPr>
        <w:t>mercantile, storage, and utility occupancies</w:t>
      </w:r>
      <w:r w:rsidRPr="005E3FCB">
        <w:rPr>
          <w:rFonts w:eastAsia="Calibri"/>
          <w:szCs w:val="22"/>
        </w:rPr>
        <w:t xml:space="preserve"> or uses </w:t>
      </w:r>
      <w:r w:rsidRPr="005E3FCB">
        <w:rPr>
          <w:rFonts w:eastAsia="Calibri"/>
          <w:strike/>
          <w:szCs w:val="22"/>
        </w:rPr>
        <w:t>in</w:t>
      </w:r>
      <w:r w:rsidRPr="005E3FCB">
        <w:rPr>
          <w:rFonts w:eastAsia="Calibri"/>
          <w:szCs w:val="22"/>
        </w:rPr>
        <w:t xml:space="preserve"> </w:t>
      </w:r>
      <w:r w:rsidRPr="005E3FCB">
        <w:rPr>
          <w:rFonts w:eastAsia="Calibri"/>
          <w:szCs w:val="22"/>
          <w:u w:val="single"/>
        </w:rPr>
        <w:t>as defined by</w:t>
      </w:r>
      <w:r w:rsidRPr="005E3FCB">
        <w:rPr>
          <w:rFonts w:eastAsia="Calibri"/>
          <w:szCs w:val="22"/>
        </w:rPr>
        <w:t xml:space="preserve"> the International Code Series, as adopted by the State of South Carolina, regardless of size or area, are not exempt from the provisions of this chapter;”</w:t>
      </w:r>
    </w:p>
    <w:p w:rsid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E3FCB">
        <w:rPr>
          <w:rFonts w:eastAsia="Calibri"/>
          <w:szCs w:val="22"/>
        </w:rPr>
        <w:tab/>
      </w:r>
    </w:p>
    <w:p w:rsidR="005E3FCB" w:rsidRPr="005E3FCB" w:rsidRDefault="005E3FCB" w:rsidP="005E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FCB">
        <w:rPr>
          <w:rFonts w:eastAsia="Calibri"/>
          <w:szCs w:val="22"/>
        </w:rPr>
        <w:t>SECTION</w:t>
      </w:r>
      <w:r w:rsidRPr="005E3FCB">
        <w:rPr>
          <w:rFonts w:eastAsia="Calibri"/>
          <w:szCs w:val="22"/>
        </w:rPr>
        <w:tab/>
      </w:r>
      <w:r w:rsidRPr="005E3FCB">
        <w:rPr>
          <w:rFonts w:eastAsia="Calibri"/>
          <w:color w:val="000000"/>
          <w:szCs w:val="24"/>
          <w:u w:color="000000"/>
          <w:shd w:val="clear" w:color="auto" w:fill="FFFFFF"/>
        </w:rPr>
        <w:t>4.</w:t>
      </w:r>
      <w:r w:rsidRPr="005E3FCB">
        <w:rPr>
          <w:rFonts w:eastAsia="Calibri"/>
          <w:color w:val="000000"/>
          <w:szCs w:val="24"/>
          <w:u w:color="000000"/>
          <w:shd w:val="clear" w:color="auto" w:fill="FFFFFF"/>
        </w:rPr>
        <w:tab/>
        <w:t>This act takes effect upon approval by the Governor.</w:t>
      </w:r>
      <w:r>
        <w:tab/>
      </w:r>
    </w:p>
    <w:p w:rsidR="005E3FCB" w:rsidRPr="005E3FCB" w:rsidRDefault="005E3FCB" w:rsidP="005E3FCB">
      <w:pPr>
        <w:tabs>
          <w:tab w:val="left" w:pos="187"/>
          <w:tab w:val="left" w:pos="3240"/>
          <w:tab w:val="left" w:pos="3427"/>
        </w:tabs>
      </w:pPr>
      <w:bookmarkStart w:id="5" w:name="Sen1"/>
      <w:bookmarkEnd w:id="5"/>
    </w:p>
    <w:p w:rsidR="005E3FCB" w:rsidRPr="005E3FCB" w:rsidRDefault="005E3FCB" w:rsidP="005E3FCB">
      <w:pPr>
        <w:tabs>
          <w:tab w:val="left" w:pos="187"/>
          <w:tab w:val="left" w:pos="3240"/>
          <w:tab w:val="left" w:pos="3427"/>
        </w:tabs>
      </w:pPr>
      <w:r w:rsidRPr="005E3FCB">
        <w:t>/s/Sen. Tom Davis</w:t>
      </w:r>
      <w:r w:rsidRPr="005E3FCB">
        <w:tab/>
        <w:t>/s/Rep. Heather A. Crawford</w:t>
      </w:r>
    </w:p>
    <w:p w:rsidR="005E3FCB" w:rsidRPr="005E3FCB" w:rsidRDefault="005E3FCB" w:rsidP="005E3FCB">
      <w:pPr>
        <w:tabs>
          <w:tab w:val="left" w:pos="187"/>
          <w:tab w:val="left" w:pos="3240"/>
          <w:tab w:val="left" w:pos="3427"/>
        </w:tabs>
      </w:pPr>
      <w:r w:rsidRPr="005E3FCB">
        <w:t>/s/Sen. Thomas D. Corbin</w:t>
      </w:r>
      <w:r w:rsidRPr="005E3FCB">
        <w:tab/>
        <w:t>/s/Rep. Todd K. Atwater</w:t>
      </w:r>
    </w:p>
    <w:p w:rsidR="005E3FCB" w:rsidRPr="005E3FCB" w:rsidRDefault="005E3FCB" w:rsidP="005E3FCB">
      <w:pPr>
        <w:tabs>
          <w:tab w:val="left" w:pos="187"/>
          <w:tab w:val="left" w:pos="3240"/>
          <w:tab w:val="left" w:pos="3427"/>
        </w:tabs>
      </w:pPr>
      <w:r w:rsidRPr="005E3FCB">
        <w:t>/s/Sen. John L. Scott, Jr.</w:t>
      </w:r>
      <w:r w:rsidRPr="005E3FCB">
        <w:tab/>
        <w:t>/s/Rep. Carl L. Anderson</w:t>
      </w:r>
    </w:p>
    <w:p w:rsidR="00084191" w:rsidRDefault="005E3FCB" w:rsidP="000A02CE">
      <w:pPr>
        <w:tabs>
          <w:tab w:val="left" w:pos="187"/>
          <w:tab w:val="left" w:pos="3240"/>
          <w:tab w:val="left" w:pos="3427"/>
        </w:tabs>
      </w:pPr>
      <w:r w:rsidRPr="005E3FCB">
        <w:tab/>
        <w:t>On Part of the Senate.</w:t>
      </w:r>
      <w:r w:rsidRPr="005E3FCB">
        <w:tab/>
      </w:r>
      <w:r w:rsidRPr="005E3FCB">
        <w:tab/>
        <w:t>On Part of the House.</w:t>
      </w: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795" w:rsidRDefault="00767795" w:rsidP="00767795">
      <w:pPr>
        <w:suppressAutoHyphens/>
      </w:pPr>
    </w:p>
    <w:sectPr w:rsidR="00767795"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B0DE6-BD12-49BF-94AC-BCF0F0479814}"/>
    <w:embedBold r:id="rId2" w:fontKey="{44403C05-7954-4899-A2D3-B0B8663C1498}"/>
  </w:font>
  <w:font w:name="Calibri">
    <w:panose1 w:val="020F0502020204030204"/>
    <w:charset w:val="00"/>
    <w:family w:val="swiss"/>
    <w:pitch w:val="variable"/>
    <w:sig w:usb0="E00002FF" w:usb1="4000ACFF" w:usb2="00000001" w:usb3="00000000" w:csb0="0000019F" w:csb1="00000000"/>
    <w:embedRegular r:id="rId3" w:fontKey="{80329006-36FB-40FC-852E-33C1241E4C83}"/>
  </w:font>
  <w:font w:name="Segoe UI">
    <w:panose1 w:val="020B0502040204020203"/>
    <w:charset w:val="00"/>
    <w:family w:val="swiss"/>
    <w:pitch w:val="variable"/>
    <w:sig w:usb0="E10022FF" w:usb1="C000E47F" w:usb2="00000029" w:usb3="00000000" w:csb0="000001DF" w:csb1="00000000"/>
    <w:embedRegular r:id="rId4" w:fontKey="{8F14FB97-0257-4136-B31A-B881A7291A87}"/>
  </w:font>
  <w:font w:name="Cambria">
    <w:panose1 w:val="02040503050406030204"/>
    <w:charset w:val="00"/>
    <w:family w:val="roman"/>
    <w:pitch w:val="variable"/>
    <w:sig w:usb0="E00002FF" w:usb1="400004FF" w:usb2="00000000" w:usb3="00000000" w:csb0="0000019F" w:csb1="00000000"/>
    <w:embedRegular r:id="rId5" w:fontKey="{9FB542B3-8DE9-464D-B862-8C437BF67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BC38C7">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BC38C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62F2A"/>
    <w:rsid w:val="00084191"/>
    <w:rsid w:val="000A02CE"/>
    <w:rsid w:val="000E0100"/>
    <w:rsid w:val="000E1785"/>
    <w:rsid w:val="000F40FA"/>
    <w:rsid w:val="000F73E1"/>
    <w:rsid w:val="001035F1"/>
    <w:rsid w:val="0010776B"/>
    <w:rsid w:val="00133E66"/>
    <w:rsid w:val="00134E89"/>
    <w:rsid w:val="00137506"/>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92E91"/>
    <w:rsid w:val="003A43EF"/>
    <w:rsid w:val="003C0DCC"/>
    <w:rsid w:val="003C4DAB"/>
    <w:rsid w:val="003D01E8"/>
    <w:rsid w:val="003E5288"/>
    <w:rsid w:val="003F6AFF"/>
    <w:rsid w:val="003F6D79"/>
    <w:rsid w:val="0041760A"/>
    <w:rsid w:val="00417C01"/>
    <w:rsid w:val="004403BD"/>
    <w:rsid w:val="00461441"/>
    <w:rsid w:val="004809EE"/>
    <w:rsid w:val="004E7D54"/>
    <w:rsid w:val="005273C6"/>
    <w:rsid w:val="00530A69"/>
    <w:rsid w:val="00545593"/>
    <w:rsid w:val="00556EBF"/>
    <w:rsid w:val="00560CA9"/>
    <w:rsid w:val="00577C6C"/>
    <w:rsid w:val="005A3DE1"/>
    <w:rsid w:val="005A5FC1"/>
    <w:rsid w:val="005A62FE"/>
    <w:rsid w:val="005C2FE2"/>
    <w:rsid w:val="005E2BC9"/>
    <w:rsid w:val="005E3FCB"/>
    <w:rsid w:val="00605102"/>
    <w:rsid w:val="006215AA"/>
    <w:rsid w:val="006537DB"/>
    <w:rsid w:val="006913C9"/>
    <w:rsid w:val="0069470D"/>
    <w:rsid w:val="006D58AA"/>
    <w:rsid w:val="00734F00"/>
    <w:rsid w:val="00736CE6"/>
    <w:rsid w:val="00767795"/>
    <w:rsid w:val="007A70AE"/>
    <w:rsid w:val="008068BA"/>
    <w:rsid w:val="008362E8"/>
    <w:rsid w:val="0085786E"/>
    <w:rsid w:val="008A1768"/>
    <w:rsid w:val="008A27A4"/>
    <w:rsid w:val="008A489F"/>
    <w:rsid w:val="008F0F33"/>
    <w:rsid w:val="008F4429"/>
    <w:rsid w:val="0091092F"/>
    <w:rsid w:val="0094021A"/>
    <w:rsid w:val="00974892"/>
    <w:rsid w:val="009A5F82"/>
    <w:rsid w:val="009B44AF"/>
    <w:rsid w:val="009B6603"/>
    <w:rsid w:val="009C41C9"/>
    <w:rsid w:val="009C6A0B"/>
    <w:rsid w:val="009F0C77"/>
    <w:rsid w:val="009F4DD1"/>
    <w:rsid w:val="00A02543"/>
    <w:rsid w:val="00A41684"/>
    <w:rsid w:val="00A64E80"/>
    <w:rsid w:val="00A72BCD"/>
    <w:rsid w:val="00A741D9"/>
    <w:rsid w:val="00A833AB"/>
    <w:rsid w:val="00A856A7"/>
    <w:rsid w:val="00A9741D"/>
    <w:rsid w:val="00AC34A2"/>
    <w:rsid w:val="00AC5EE2"/>
    <w:rsid w:val="00AD1C9A"/>
    <w:rsid w:val="00AD4B17"/>
    <w:rsid w:val="00B412D4"/>
    <w:rsid w:val="00BC38C7"/>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081C"/>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 w:type="character" w:customStyle="1" w:styleId="apple-converted-space">
    <w:name w:val="apple-converted-space"/>
    <w:basedOn w:val="DefaultParagraphFont"/>
    <w:rsid w:val="0091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50850-6157-46B0-AFF1-727DBDE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20518346.dotm</Template>
  <TotalTime>2</TotalTime>
  <Pages>3</Pages>
  <Words>516</Words>
  <Characters>2584</Characters>
  <Application>Microsoft Office Word</Application>
  <DocSecurity>0</DocSecurity>
  <Lines>129</Lines>
  <Paragraphs>51</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(Feb. 21, 2018) - South Carolina Legislature Online</dc:title>
  <dc:creator>angiemorgan</dc:creator>
  <cp:lastModifiedBy>Derrick Williamson</cp:lastModifiedBy>
  <cp:revision>4</cp:revision>
  <cp:lastPrinted>2018-02-21T17:10:00Z</cp:lastPrinted>
  <dcterms:created xsi:type="dcterms:W3CDTF">2018-02-21T17:16:00Z</dcterms:created>
  <dcterms:modified xsi:type="dcterms:W3CDTF">2018-02-22T13:48:00Z</dcterms:modified>
</cp:coreProperties>
</file>