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DE6" w:rsidRDefault="00ED6DE6"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ED6DE6" w:rsidRDefault="00ED6DE6"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w:t>
      </w:r>
      <w:r>
        <w:rPr>
          <w:snapToGrid w:val="0"/>
        </w:rPr>
        <w:t>COUNCIL\VR\3819C005.CC.VR18)</w:t>
      </w:r>
    </w:p>
    <w:p w:rsidR="00ED6DE6" w:rsidRDefault="00ED6DE6"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ED6DE6" w:rsidRDefault="00ED6DE6"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13AFA" w:rsidRDefault="00113AFA" w:rsidP="00113AFA">
      <w:pPr>
        <w:tabs>
          <w:tab w:val="right" w:pos="5933"/>
        </w:tabs>
        <w:suppressAutoHyphens/>
      </w:pPr>
      <w:r>
        <w:tab/>
      </w:r>
      <w:r>
        <w:rPr>
          <w:b/>
          <w:sz w:val="36"/>
        </w:rPr>
        <w:t>H. 3819</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Forrester, Allison, Tallon, Hamilton, Felder, Elliott, Jordan, B. Newton, Martin, McCravy, Wheeler, Erickson, West, Lowe, Ryhal, Atwater, Willis, Jefferson, W. Newton, Thigpen, Bennett, Crosby, Long, Putnam, Cogswell and Henderson</w:t>
      </w:r>
      <w:r>
        <w:noBreakHyphen/>
        <w:t>Myers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B8" w:rsidRDefault="009F16B8" w:rsidP="009F16B8">
      <w:pPr>
        <w:tabs>
          <w:tab w:val="right" w:pos="5933"/>
        </w:tabs>
        <w:suppressAutoHyphens/>
      </w:pPr>
      <w:r>
        <w:t>S. Printed 3/29</w:t>
      </w:r>
      <w:r w:rsidR="00113AFA">
        <w:t>/18--S.</w:t>
      </w:r>
      <w:r w:rsidR="00124FD0">
        <w:tab/>
      </w:r>
    </w:p>
    <w:p w:rsidR="00113AFA" w:rsidRDefault="00113AFA" w:rsidP="009F16B8">
      <w:pPr>
        <w:tabs>
          <w:tab w:val="right" w:pos="5933"/>
        </w:tabs>
        <w:suppressAutoHyphens/>
      </w:pPr>
      <w:r>
        <w:t xml:space="preserve">Read </w:t>
      </w:r>
      <w:r w:rsidR="00505E98">
        <w:t>the first time February 27, 2018</w:t>
      </w:r>
      <w:r>
        <w:t>.</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5BA"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Pr="00DA5A74">
        <w:rPr>
          <w:color w:val="000000" w:themeColor="text1"/>
          <w:u w:color="000000" w:themeColor="text1"/>
        </w:rPr>
        <w:t xml:space="preserve"> SO AS TO ESTABLISH REQUIREMENTS RELATED TO PRESCRIBING OPIOID ANALGESICS TO MINORS.</w:t>
      </w:r>
      <w:bookmarkEnd w:id="1"/>
    </w:p>
    <w:p w:rsidR="00BB15BA" w:rsidRDefault="009F1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F16B8" w:rsidRDefault="009F1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074D3E"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“Section</w:t>
      </w:r>
      <w:r w:rsidR="00333FA8">
        <w:rPr>
          <w:color w:val="000000" w:themeColor="text1"/>
          <w:u w:color="000000" w:themeColor="text1"/>
        </w:rPr>
        <w:tab/>
      </w:r>
      <w:r w:rsidR="00127ACF" w:rsidRPr="00DA5A74">
        <w:rPr>
          <w:color w:val="000000" w:themeColor="text1"/>
          <w:u w:color="000000" w:themeColor="text1"/>
        </w:rPr>
        <w:t>44</w:t>
      </w:r>
      <w:r w:rsidR="008122D2">
        <w:rPr>
          <w:color w:val="000000" w:themeColor="text1"/>
          <w:u w:color="000000" w:themeColor="text1"/>
        </w:rPr>
        <w:noBreakHyphen/>
      </w:r>
      <w:r w:rsidR="00127ACF"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00127ACF" w:rsidRPr="00DA5A74">
        <w:rPr>
          <w:color w:val="000000" w:themeColor="text1"/>
          <w:u w:color="000000" w:themeColor="text1"/>
        </w:rPr>
        <w:t>.</w:t>
      </w:r>
      <w:r w:rsidR="00127ACF">
        <w:rPr>
          <w:color w:val="000000" w:themeColor="text1"/>
          <w:u w:color="000000" w:themeColor="text1"/>
        </w:rPr>
        <w:tab/>
      </w:r>
      <w:r w:rsidR="00127ACF" w:rsidRPr="00DA5A74">
        <w:rPr>
          <w:color w:val="000000" w:themeColor="text1"/>
          <w:u w:color="000000" w:themeColor="text1"/>
        </w:rPr>
        <w:t>(A)</w:t>
      </w:r>
      <w:r w:rsidR="00620E2E">
        <w:rPr>
          <w:color w:val="000000" w:themeColor="text1"/>
          <w:u w:color="000000" w:themeColor="text1"/>
        </w:rPr>
        <w:tab/>
      </w:r>
      <w:r w:rsidR="00127ACF" w:rsidRPr="00DA5A74">
        <w:rPr>
          <w:color w:val="000000" w:themeColor="text1"/>
          <w:u w:color="000000" w:themeColor="text1"/>
        </w:rPr>
        <w:t>Except as provided in subsection (C), before issuing</w:t>
      </w:r>
      <w:r w:rsidR="00ED4316">
        <w:rPr>
          <w:color w:val="000000" w:themeColor="text1"/>
          <w:u w:color="000000" w:themeColor="text1"/>
        </w:rPr>
        <w:t>,</w:t>
      </w:r>
      <w:r w:rsidR="00127ACF" w:rsidRPr="00DA5A74">
        <w:rPr>
          <w:color w:val="000000" w:themeColor="text1"/>
          <w:u w:color="000000" w:themeColor="text1"/>
        </w:rPr>
        <w:t xml:space="preserve"> for a minor</w:t>
      </w:r>
      <w:r w:rsidR="00ED4316">
        <w:rPr>
          <w:color w:val="000000" w:themeColor="text1"/>
          <w:u w:color="000000" w:themeColor="text1"/>
        </w:rPr>
        <w:t>,</w:t>
      </w:r>
      <w:r w:rsidR="00127ACF"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94759">
        <w:rPr>
          <w:u w:color="000000" w:themeColor="text1"/>
        </w:rPr>
        <w:t>(C)(1)</w:t>
      </w:r>
      <w:r w:rsidRPr="00C94759">
        <w:rPr>
          <w:u w:color="000000" w:themeColor="text1"/>
        </w:rPr>
        <w:tab/>
        <w:t>The requirements set forth in subsection (A) do not apply if the minor’s treatment with an opioid analgesic:</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759">
        <w:rPr>
          <w:u w:color="000000" w:themeColor="text1"/>
        </w:rPr>
        <w:tab/>
      </w:r>
      <w:r w:rsidRPr="00C94759">
        <w:rPr>
          <w:u w:color="000000" w:themeColor="text1"/>
        </w:rPr>
        <w:tab/>
      </w:r>
      <w:r w:rsidRPr="00C94759">
        <w:rPr>
          <w:u w:color="000000" w:themeColor="text1"/>
        </w:rPr>
        <w:tab/>
        <w:t>(a)</w:t>
      </w:r>
      <w:r w:rsidRPr="00C94759">
        <w:rPr>
          <w:u w:color="000000" w:themeColor="text1"/>
        </w:rPr>
        <w:tab/>
        <w:t>is associated with or incident to a medical emergency;</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759">
        <w:rPr>
          <w:u w:color="000000" w:themeColor="text1"/>
        </w:rPr>
        <w:tab/>
      </w:r>
      <w:r w:rsidRPr="00C94759">
        <w:rPr>
          <w:u w:color="000000" w:themeColor="text1"/>
        </w:rPr>
        <w:tab/>
      </w:r>
      <w:r w:rsidRPr="00C94759">
        <w:rPr>
          <w:u w:color="000000" w:themeColor="text1"/>
        </w:rPr>
        <w:tab/>
        <w:t>(b)</w:t>
      </w:r>
      <w:r w:rsidRPr="00C94759">
        <w:rPr>
          <w:u w:color="000000" w:themeColor="text1"/>
        </w:rPr>
        <w:tab/>
        <w:t xml:space="preserve">is associated with or incident to surgery, regardless of whether the surgery is performed on an inpatient or outpatient basis; </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tab/>
      </w:r>
      <w:r w:rsidRPr="00C94759">
        <w:tab/>
      </w:r>
      <w:r w:rsidRPr="00C94759">
        <w:tab/>
        <w:t>(c)</w:t>
      </w:r>
      <w:r w:rsidRPr="00C94759">
        <w:tab/>
        <w:t>is associated with pain management treatment for palliative care, cancer care, or hematological disorders including, but not limited to, sickle cell disease;</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tab/>
      </w:r>
      <w:r w:rsidRPr="00C94759">
        <w:tab/>
      </w:r>
      <w:r w:rsidRPr="00C94759">
        <w:tab/>
        <w:t>(d)</w:t>
      </w:r>
      <w:r w:rsidRPr="00C94759">
        <w:tab/>
        <w:t>is associated with the treatment of neonatal abstinence syndrome;</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tab/>
      </w:r>
      <w:r w:rsidRPr="00C94759">
        <w:tab/>
      </w:r>
      <w:r w:rsidRPr="00C94759">
        <w:tab/>
        <w:t>(e)</w:t>
      </w:r>
      <w:r w:rsidRPr="00C94759">
        <w:tab/>
        <w:t>is limited to liquid antitussive medication;</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tab/>
      </w:r>
      <w:r w:rsidRPr="00C94759">
        <w:tab/>
      </w:r>
      <w:r w:rsidRPr="00C94759">
        <w:tab/>
        <w:t>(f)</w:t>
      </w:r>
      <w:r w:rsidRPr="00C94759">
        <w:tab/>
        <w:t>in the prescriber’s professional judgment, fulfilling the requirements of subsection (A) would be a detriment to the minor’s health or safety;</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lastRenderedPageBreak/>
        <w:tab/>
      </w:r>
      <w:r w:rsidRPr="00C94759">
        <w:tab/>
      </w:r>
      <w:r w:rsidRPr="00C94759">
        <w:tab/>
        <w:t>(g)</w:t>
      </w:r>
      <w:r w:rsidRPr="00C94759">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tab/>
      </w:r>
      <w:r w:rsidRPr="00C94759">
        <w:tab/>
      </w:r>
      <w:r w:rsidRPr="00C94759">
        <w:tab/>
        <w:t>(h)</w:t>
      </w:r>
      <w:r w:rsidRPr="00C94759">
        <w:tab/>
        <w:t>is ordered by a practitioner issuing a prescription for a Schedule II controlled substance to treat a hospice</w:t>
      </w:r>
      <w:r w:rsidRPr="00C94759">
        <w:noBreakHyphen/>
        <w:t>certified patient;</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tab/>
      </w:r>
      <w:r w:rsidRPr="00C94759">
        <w:tab/>
      </w:r>
      <w:r w:rsidRPr="00C94759">
        <w:tab/>
        <w:t>(i)</w:t>
      </w:r>
      <w:r w:rsidRPr="00C94759">
        <w:tab/>
      </w:r>
      <w:r w:rsidRPr="00C94759">
        <w:tab/>
        <w:t>is ordered by a practitioner issuing a prescription for a Schedule II controlled substance that does not exceed a five</w:t>
      </w:r>
      <w:r w:rsidRPr="00C94759">
        <w:noBreakHyphen/>
        <w:t>day supply for a patient; or</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4759">
        <w:tab/>
      </w:r>
      <w:r w:rsidRPr="00C94759">
        <w:tab/>
      </w:r>
      <w:r w:rsidRPr="00C94759">
        <w:tab/>
        <w:t>(j)</w:t>
      </w:r>
      <w:r w:rsidRPr="00C94759">
        <w:tab/>
      </w:r>
      <w:r w:rsidRPr="00C94759">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759">
        <w:rPr>
          <w:u w:color="000000" w:themeColor="text1"/>
        </w:rPr>
        <w:tab/>
      </w:r>
      <w:r w:rsidRPr="00C94759">
        <w:rPr>
          <w:u w:color="000000" w:themeColor="text1"/>
        </w:rPr>
        <w:tab/>
        <w:t>(2)</w:t>
      </w:r>
      <w:r w:rsidRPr="00C94759">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ED6DE6" w:rsidRPr="00C94759" w:rsidRDefault="00ED6DE6" w:rsidP="00ED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4759">
        <w:rPr>
          <w:u w:color="000000" w:themeColor="text1"/>
        </w:rPr>
        <w:tab/>
        <w:t>(D)</w:t>
      </w:r>
      <w:r w:rsidRPr="00C94759">
        <w:rPr>
          <w:u w:color="000000" w:themeColor="text1"/>
        </w:rPr>
        <w:tab/>
        <w:t>The exemption provided pursuant to subsection (C)(1)(g) does not apply to treatment rendered in a prescriber’s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074D3E">
        <w:rPr>
          <w:color w:val="000000" w:themeColor="text1"/>
          <w:u w:color="000000" w:themeColor="text1"/>
        </w:rPr>
        <w:t xml:space="preserve"> </w:t>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sustaining, or otherwise has become independent 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ED6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759">
        <w:rPr>
          <w:snapToGrid w:val="0"/>
        </w:rPr>
        <w:t>SECTION</w:t>
      </w:r>
      <w:r w:rsidRPr="00C94759">
        <w:rPr>
          <w:snapToGrid w:val="0"/>
        </w:rPr>
        <w:tab/>
        <w:t>2.</w:t>
      </w:r>
      <w:r w:rsidRPr="00C94759">
        <w:rPr>
          <w:snapToGrid w:val="0"/>
        </w:rPr>
        <w:tab/>
        <w:t xml:space="preserve"> This act takes effect six months after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7D0D" w:rsidRDefault="00D47D0D" w:rsidP="00D47D0D">
      <w:pPr>
        <w:suppressAutoHyphens/>
      </w:pPr>
    </w:p>
    <w:sectPr w:rsidR="00D47D0D"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B48124-76D1-4AC4-B500-E025600EE881}"/>
    <w:embedBold r:id="rId2" w:fontKey="{6F831FDD-EC7A-4001-ADCF-16335A256DC5}"/>
  </w:font>
  <w:font w:name="Calibri">
    <w:panose1 w:val="020F0502020204030204"/>
    <w:charset w:val="00"/>
    <w:family w:val="swiss"/>
    <w:pitch w:val="variable"/>
    <w:sig w:usb0="E00002FF" w:usb1="4000ACFF" w:usb2="00000001" w:usb3="00000000" w:csb0="0000019F" w:csb1="00000000"/>
    <w:embedRegular r:id="rId3" w:fontKey="{39FE118B-11A0-48D7-A71B-13F951E322DD}"/>
  </w:font>
  <w:font w:name="Segoe UI">
    <w:panose1 w:val="020B0502040204020203"/>
    <w:charset w:val="00"/>
    <w:family w:val="swiss"/>
    <w:pitch w:val="variable"/>
    <w:sig w:usb0="E10022FF" w:usb1="C000E47F" w:usb2="00000029" w:usb3="00000000" w:csb0="000001DF" w:csb1="00000000"/>
    <w:embedRegular r:id="rId4" w:fontKey="{94497C4B-4A37-4E20-823A-4B769A95C2B9}"/>
  </w:font>
  <w:font w:name="Cambria">
    <w:panose1 w:val="02040503050406030204"/>
    <w:charset w:val="00"/>
    <w:family w:val="roman"/>
    <w:pitch w:val="variable"/>
    <w:sig w:usb0="E00002FF" w:usb1="400004FF" w:usb2="00000000" w:usb3="00000000" w:csb0="0000019F" w:csb1="00000000"/>
    <w:embedRegular r:id="rId5" w:fontKey="{645F1E1D-98DE-4278-AD48-D6BE2D54F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D01C45">
      <w:rPr>
        <w:noProof/>
      </w:rPr>
      <w:t>1</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D47D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74D3E"/>
    <w:rsid w:val="000E1785"/>
    <w:rsid w:val="000F40FA"/>
    <w:rsid w:val="0010776B"/>
    <w:rsid w:val="00113AFA"/>
    <w:rsid w:val="00124FD0"/>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05E98"/>
    <w:rsid w:val="005273C6"/>
    <w:rsid w:val="00530A69"/>
    <w:rsid w:val="00545593"/>
    <w:rsid w:val="00577C6C"/>
    <w:rsid w:val="00593FBA"/>
    <w:rsid w:val="005C2FE2"/>
    <w:rsid w:val="005E2BC9"/>
    <w:rsid w:val="00605102"/>
    <w:rsid w:val="00620E2E"/>
    <w:rsid w:val="006215AA"/>
    <w:rsid w:val="006913C9"/>
    <w:rsid w:val="0069470D"/>
    <w:rsid w:val="006B1393"/>
    <w:rsid w:val="006C1FDE"/>
    <w:rsid w:val="006C5CDC"/>
    <w:rsid w:val="006E779F"/>
    <w:rsid w:val="007107F7"/>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16B8"/>
    <w:rsid w:val="009F335C"/>
    <w:rsid w:val="009F4DD1"/>
    <w:rsid w:val="00A31071"/>
    <w:rsid w:val="00A41684"/>
    <w:rsid w:val="00A64E80"/>
    <w:rsid w:val="00A72BCD"/>
    <w:rsid w:val="00A738CA"/>
    <w:rsid w:val="00A741D9"/>
    <w:rsid w:val="00A833AB"/>
    <w:rsid w:val="00A9741D"/>
    <w:rsid w:val="00AD4B17"/>
    <w:rsid w:val="00B26F48"/>
    <w:rsid w:val="00B412D4"/>
    <w:rsid w:val="00BB15BA"/>
    <w:rsid w:val="00BE3C22"/>
    <w:rsid w:val="00C0345E"/>
    <w:rsid w:val="00C3483A"/>
    <w:rsid w:val="00C74E9D"/>
    <w:rsid w:val="00C82FD3"/>
    <w:rsid w:val="00C92819"/>
    <w:rsid w:val="00CA3F70"/>
    <w:rsid w:val="00CC6B7B"/>
    <w:rsid w:val="00CD2089"/>
    <w:rsid w:val="00D01C45"/>
    <w:rsid w:val="00D47D0D"/>
    <w:rsid w:val="00D73A67"/>
    <w:rsid w:val="00D970A9"/>
    <w:rsid w:val="00DD1FC6"/>
    <w:rsid w:val="00DF3845"/>
    <w:rsid w:val="00E41911"/>
    <w:rsid w:val="00E92EEF"/>
    <w:rsid w:val="00ED4316"/>
    <w:rsid w:val="00ED6DE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985CF-E559-4C17-B45F-62DCDFA8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5</Pages>
  <Words>1057</Words>
  <Characters>5794</Characters>
  <Application>Microsoft Office Word</Application>
  <DocSecurity>0</DocSecurity>
  <Lines>153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(Apr. 19, 2018) - South Carolina Legislature Online</dc:title>
  <dc:creator>%USERNAME%</dc:creator>
  <cp:lastModifiedBy>Lavarres Lynch</cp:lastModifiedBy>
  <cp:revision>2</cp:revision>
  <cp:lastPrinted>2017-01-05T16:48:00Z</cp:lastPrinted>
  <dcterms:created xsi:type="dcterms:W3CDTF">2018-04-19T19:17:00Z</dcterms:created>
  <dcterms:modified xsi:type="dcterms:W3CDTF">2018-04-19T19:17:00Z</dcterms:modified>
</cp:coreProperties>
</file>