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E91A13" w:rsidRDefault="00E91A13" w:rsidP="00E91A13">
      <w:pPr>
        <w:tabs>
          <w:tab w:val="right" w:pos="5933"/>
        </w:tabs>
        <w:suppressAutoHyphens/>
      </w:pPr>
      <w:r>
        <w:tab/>
      </w:r>
      <w:r>
        <w:rPr>
          <w:b/>
          <w:sz w:val="36"/>
        </w:rPr>
        <w:t>H. 3824</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3824) </w:t>
      </w:r>
      <w:r w:rsidRPr="00E91A13">
        <w:rPr>
          <w:color w:val="000000" w:themeColor="text1"/>
          <w:u w:color="000000" w:themeColor="text1"/>
        </w:rPr>
        <w:t>to amend the Code of Laws of South Carolina, 1976, by adding Section 44</w:t>
      </w:r>
      <w:r w:rsidRPr="00E91A13">
        <w:rPr>
          <w:color w:val="000000" w:themeColor="text1"/>
          <w:u w:color="000000" w:themeColor="text1"/>
        </w:rPr>
        <w:noBreakHyphen/>
        <w:t>53</w:t>
      </w:r>
      <w:r w:rsidRPr="00E91A13">
        <w:rPr>
          <w:color w:val="000000" w:themeColor="text1"/>
          <w:u w:color="000000" w:themeColor="text1"/>
        </w:rPr>
        <w:noBreakHyphen/>
        <w:t>1645 so as to require  health care practitioners to review a patient’s controlled substance</w:t>
      </w:r>
      <w:r>
        <w:t>, etc., respectfully</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Amend the bill, as and if amended, SECTION 1, Section 44-53-1645, page 2, by striking Section 44-53-1645(</w:t>
      </w:r>
      <w:bookmarkStart w:id="0" w:name="temp"/>
      <w:bookmarkEnd w:id="0"/>
      <w:r w:rsidRPr="007061DD">
        <w:t>B)(3) and inserting:</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 xml:space="preserve">/   </w:t>
      </w:r>
      <w:r w:rsidRPr="007061DD">
        <w:rPr>
          <w:u w:color="000000" w:themeColor="text1"/>
        </w:rPr>
        <w:t>(3)</w:t>
      </w:r>
      <w:r w:rsidRPr="007061DD">
        <w:rPr>
          <w:u w:color="000000" w:themeColor="text1"/>
        </w:rPr>
        <w:tab/>
      </w:r>
      <w:r w:rsidRPr="007061DD">
        <w:rPr>
          <w:u w:color="000000" w:themeColor="text1"/>
        </w:rPr>
        <w:tab/>
        <w:t>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   /</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Renumber sections to conform.</w:t>
      </w:r>
    </w:p>
    <w:p w:rsid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61DD">
        <w:t>Amend title to conform.</w:t>
      </w:r>
    </w:p>
    <w:p w:rsidR="00E91A13" w:rsidRPr="007061DD"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b/>
          <w:bCs/>
          <w:szCs w:val="22"/>
        </w:rPr>
      </w:pPr>
      <w:r w:rsidRPr="00E91A13">
        <w:rPr>
          <w:rFonts w:eastAsiaTheme="majorEastAsia"/>
          <w:b/>
          <w:bCs/>
          <w:szCs w:val="22"/>
        </w:rPr>
        <w:t>Explanation of Fiscal Impact</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91A13">
        <w:rPr>
          <w:rFonts w:eastAsiaTheme="minorHAnsi"/>
          <w:b/>
          <w:bCs/>
          <w:szCs w:val="22"/>
        </w:rPr>
        <w:t>Introduced February 22, 2017</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91A13">
        <w:rPr>
          <w:rFonts w:eastAsiaTheme="minorHAnsi"/>
          <w:b/>
          <w:bCs/>
          <w:szCs w:val="22"/>
        </w:rPr>
        <w:t>State Expenditure</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szCs w:val="22"/>
        </w:rPr>
        <w:tab/>
        <w:t>This bill requires practitioners authorized to prescribe controlled substances, or their delegate, to review a patient’s controlled substance prescription history, maintained in the prescription monitoring program, before issuing a prescription for a Schedule II controlled substance. Consultations between practitioner and delegate must be recorded in the patient’s medical record. Exceptions to this review requirement are allowed for treating hospice-certified patients or patients in a skilled nursing facility, for chronic pain treatment under certain circumstances, and for supplies of less than five days. An exception is also allowed when treatment is imperative and the practitioner is unable to access the prescription monitoring program, provided that this situation is documented in the patient’s medical record. Violations of the review requirements are to be reported to the appropriate board for disciplinary action.</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szCs w:val="22"/>
        </w:rPr>
        <w:tab/>
        <w:t>The bill requires dentists, optometrists, physician assistants, podiatrists, and pharmacists to complete at least two hours of continuing education related to the approved procedures for prescribing and monitoring controlled substances listed in Schedules II, III, and IV.</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b/>
          <w:szCs w:val="22"/>
        </w:rPr>
        <w:t>Department of Health and Environmental Control.</w:t>
      </w:r>
      <w:r w:rsidRPr="00E91A13">
        <w:rPr>
          <w:rFonts w:eastAsiaTheme="minorHAnsi"/>
          <w:szCs w:val="22"/>
        </w:rPr>
        <w:t xml:space="preserve"> The department reports that this bill would have no expenditure impact on the general fund, federal funds, or other funds as the agency already maintains the prescription monitoring program. The primary impact of this bill is on practitioners prescribing controlled substances who must comply with the new requirements.</w:t>
      </w:r>
    </w:p>
    <w:p w:rsidR="00E91A13" w:rsidRPr="00E91A13" w:rsidRDefault="00E91A13" w:rsidP="00E91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91A13">
        <w:rPr>
          <w:rFonts w:eastAsiaTheme="minorHAnsi"/>
          <w:b/>
          <w:szCs w:val="22"/>
        </w:rPr>
        <w:t>Department of Labor, Licensing and Regulation.</w:t>
      </w:r>
      <w:r w:rsidRPr="00E91A13">
        <w:rPr>
          <w:rFonts w:eastAsiaTheme="minorHAnsi"/>
          <w:szCs w:val="22"/>
        </w:rPr>
        <w:t xml:space="preserve"> The department reports that this bill would have no expenditure impact on the general fund, federal funds, or other funds as regulatory procedures are already in place that would allow the various boards to verify that the educational requirements imposed by the bill have been completed by licensees.</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1A13"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C91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(3)</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prescribing a Schedule II controlled substance for a patient with whom the practitioner has an established relationship for the treatment of chronic pain; </w:t>
      </w:r>
      <w:r>
        <w:rPr>
          <w:color w:val="000000" w:themeColor="text1"/>
          <w:u w:color="000000" w:themeColor="text1"/>
        </w:rPr>
        <w:t>however,</w:t>
      </w:r>
      <w:r w:rsidRPr="00A040CF">
        <w:rPr>
          <w:color w:val="000000" w:themeColor="text1"/>
          <w:u w:color="000000" w:themeColor="text1"/>
        </w:rPr>
        <w:t xml:space="preserve"> the practitioner must review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D11" w:rsidRDefault="00347D11" w:rsidP="00347D11">
      <w:pPr>
        <w:suppressAutoHyphens/>
      </w:pPr>
    </w:p>
    <w:sectPr w:rsidR="00347D11"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D23AB2-B419-4E1F-B090-AA02195CD81F}"/>
    <w:embedBold r:id="rId2" w:fontKey="{0CD8E301-00DC-4234-816F-203359F387F6}"/>
  </w:font>
  <w:font w:name="Calibri">
    <w:panose1 w:val="020F0502020204030204"/>
    <w:charset w:val="00"/>
    <w:family w:val="swiss"/>
    <w:pitch w:val="variable"/>
    <w:sig w:usb0="E00002FF" w:usb1="4000ACFF" w:usb2="00000001" w:usb3="00000000" w:csb0="0000019F" w:csb1="00000000"/>
    <w:embedRegular r:id="rId3" w:fontKey="{06BAF2E4-AEE0-4555-A45F-16E6C4742624}"/>
    <w:embedBold r:id="rId4" w:fontKey="{201A9243-3D17-42AA-86F2-8799464B584F}"/>
  </w:font>
  <w:font w:name="Cambria">
    <w:panose1 w:val="02040503050406030204"/>
    <w:charset w:val="00"/>
    <w:family w:val="roman"/>
    <w:pitch w:val="variable"/>
    <w:sig w:usb0="E00002FF" w:usb1="400004FF" w:usb2="00000000" w:usb3="00000000" w:csb0="0000019F" w:csb1="00000000"/>
    <w:embedRegular r:id="rId5" w:fontKey="{625CF2AD-40DE-450B-A358-6DA2D955A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347D11">
      <w:rPr>
        <w:noProof/>
      </w:rPr>
      <w:t>2</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347D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A2121"/>
    <w:rsid w:val="000D2836"/>
    <w:rsid w:val="000E0100"/>
    <w:rsid w:val="000E1785"/>
    <w:rsid w:val="000F40FA"/>
    <w:rsid w:val="001035F1"/>
    <w:rsid w:val="0010776B"/>
    <w:rsid w:val="00133E66"/>
    <w:rsid w:val="001435A3"/>
    <w:rsid w:val="00146ED3"/>
    <w:rsid w:val="00151044"/>
    <w:rsid w:val="001668CB"/>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47D11"/>
    <w:rsid w:val="003548D5"/>
    <w:rsid w:val="0037079A"/>
    <w:rsid w:val="0039476C"/>
    <w:rsid w:val="003A2D10"/>
    <w:rsid w:val="003C4DAB"/>
    <w:rsid w:val="003D01E8"/>
    <w:rsid w:val="003E5288"/>
    <w:rsid w:val="003F567C"/>
    <w:rsid w:val="003F5AFA"/>
    <w:rsid w:val="003F6D79"/>
    <w:rsid w:val="00403345"/>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64E80"/>
    <w:rsid w:val="00A70C64"/>
    <w:rsid w:val="00A72BCD"/>
    <w:rsid w:val="00A741D9"/>
    <w:rsid w:val="00A833AB"/>
    <w:rsid w:val="00A9741D"/>
    <w:rsid w:val="00AC34A2"/>
    <w:rsid w:val="00AC4EAA"/>
    <w:rsid w:val="00AD1C9A"/>
    <w:rsid w:val="00AD4B17"/>
    <w:rsid w:val="00AE529E"/>
    <w:rsid w:val="00B412D4"/>
    <w:rsid w:val="00B62896"/>
    <w:rsid w:val="00B650D4"/>
    <w:rsid w:val="00B973B7"/>
    <w:rsid w:val="00BE3C22"/>
    <w:rsid w:val="00BE6AF4"/>
    <w:rsid w:val="00C0345E"/>
    <w:rsid w:val="00C0475C"/>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433CF-9888-4F7C-9AC4-8FDBADF1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9</Pages>
  <Words>2500</Words>
  <Characters>14282</Characters>
  <Application>Microsoft Office Word</Application>
  <DocSecurity>0</DocSecurity>
  <Lines>350</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(Mar. 29, 2017) - South Carolina Legislature Online</dc:title>
  <dc:creator>%USERNAME%</dc:creator>
  <cp:lastModifiedBy>Miriam Cook</cp:lastModifiedBy>
  <cp:revision>2</cp:revision>
  <cp:lastPrinted>2017-01-24T15:21:00Z</cp:lastPrinted>
  <dcterms:created xsi:type="dcterms:W3CDTF">2017-03-29T23:54:00Z</dcterms:created>
  <dcterms:modified xsi:type="dcterms:W3CDTF">2017-03-29T23:54:00Z</dcterms:modified>
</cp:coreProperties>
</file>