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716" w:rsidRDefault="00DE57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2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45979"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6D13">
        <w:rPr>
          <w:color w:val="000000" w:themeColor="text1"/>
          <w:u w:color="000000" w:themeColor="text1"/>
        </w:rPr>
        <w:t>TO AMEND SECTION 2</w:t>
      </w:r>
      <w:r w:rsidRPr="002B6D13">
        <w:rPr>
          <w:color w:val="000000" w:themeColor="text1"/>
          <w:u w:color="000000" w:themeColor="text1"/>
        </w:rPr>
        <w:noBreakHyphen/>
        <w:t>15</w:t>
      </w:r>
      <w:r w:rsidRPr="002B6D13">
        <w:rPr>
          <w:color w:val="000000" w:themeColor="text1"/>
          <w:u w:color="000000" w:themeColor="text1"/>
        </w:rPr>
        <w:noBreakHyphen/>
        <w:t>50, AS AMENDED,</w:t>
      </w:r>
      <w:r w:rsidR="00D107B1">
        <w:rPr>
          <w:color w:val="000000" w:themeColor="text1"/>
          <w:u w:color="000000" w:themeColor="text1"/>
        </w:rPr>
        <w:t xml:space="preserve"> CODE OF LAWS OF SOUTH CAROLINA, 1976,</w:t>
      </w:r>
      <w:r w:rsidR="00A67609">
        <w:rPr>
          <w:color w:val="000000" w:themeColor="text1"/>
          <w:u w:color="000000" w:themeColor="text1"/>
        </w:rPr>
        <w:t xml:space="preserve"> RELATING TO DEFINITIONS CONCERNING THE LEGISLATIVE AUDIT COUNCIL,</w:t>
      </w:r>
      <w:r w:rsidRPr="002B6D13">
        <w:rPr>
          <w:color w:val="000000" w:themeColor="text1"/>
          <w:u w:color="000000" w:themeColor="text1"/>
        </w:rPr>
        <w:t xml:space="preserve"> SO AS TO EXPAND THE DEFINITION OF “STATE AGENCIES” TO INCLUDE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204" w:rsidRDefault="00EC2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6D13">
        <w:rPr>
          <w:color w:val="000000" w:themeColor="text1"/>
          <w:u w:color="000000" w:themeColor="text1"/>
        </w:rPr>
        <w:t>1.</w:t>
      </w:r>
      <w:r>
        <w:rPr>
          <w:color w:val="000000" w:themeColor="text1"/>
          <w:u w:color="000000" w:themeColor="text1"/>
        </w:rPr>
        <w:tab/>
      </w:r>
      <w:r w:rsidRPr="002B6D13">
        <w:rPr>
          <w:color w:val="000000" w:themeColor="text1"/>
          <w:u w:color="000000" w:themeColor="text1"/>
        </w:rPr>
        <w:t>Section 2</w:t>
      </w:r>
      <w:r w:rsidRPr="002B6D13">
        <w:rPr>
          <w:color w:val="000000" w:themeColor="text1"/>
          <w:u w:color="000000" w:themeColor="text1"/>
        </w:rPr>
        <w:noBreakHyphen/>
        <w:t>15</w:t>
      </w:r>
      <w:r w:rsidRPr="002B6D13">
        <w:rPr>
          <w:color w:val="000000" w:themeColor="text1"/>
          <w:u w:color="000000" w:themeColor="text1"/>
        </w:rPr>
        <w:noBreakHyphen/>
        <w:t xml:space="preserve">50, as last amended by Act 121 of 2014, is further amended to read: </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D13">
        <w:rPr>
          <w:color w:val="000000" w:themeColor="text1"/>
          <w:u w:color="000000" w:themeColor="text1"/>
        </w:rPr>
        <w:t>“Section 2</w:t>
      </w:r>
      <w:r w:rsidRPr="002B6D13">
        <w:rPr>
          <w:color w:val="000000" w:themeColor="text1"/>
          <w:u w:color="000000" w:themeColor="text1"/>
        </w:rPr>
        <w:noBreakHyphen/>
        <w:t>15</w:t>
      </w:r>
      <w:r w:rsidRPr="002B6D13">
        <w:rPr>
          <w:color w:val="000000" w:themeColor="text1"/>
          <w:u w:color="000000" w:themeColor="text1"/>
        </w:rPr>
        <w:noBreakHyphen/>
        <w:t>50.</w:t>
      </w:r>
      <w:r>
        <w:rPr>
          <w:color w:val="000000" w:themeColor="text1"/>
          <w:u w:color="000000" w:themeColor="text1"/>
        </w:rPr>
        <w:tab/>
      </w:r>
      <w:r w:rsidRPr="002B6D13">
        <w:rPr>
          <w:color w:val="000000" w:themeColor="text1"/>
          <w:u w:color="000000" w:themeColor="text1"/>
        </w:rPr>
        <w:t xml:space="preserve">For the purpose of this chapter </w:t>
      </w:r>
      <w:r>
        <w:rPr>
          <w:color w:val="000000" w:themeColor="text1"/>
          <w:u w:color="000000" w:themeColor="text1"/>
        </w:rPr>
        <w:t>‘</w:t>
      </w:r>
      <w:r w:rsidRPr="002B6D13">
        <w:rPr>
          <w:color w:val="000000" w:themeColor="text1"/>
          <w:u w:color="000000" w:themeColor="text1"/>
        </w:rPr>
        <w:t>state agencies</w:t>
      </w:r>
      <w:r>
        <w:rPr>
          <w:color w:val="000000" w:themeColor="text1"/>
          <w:u w:color="000000" w:themeColor="text1"/>
        </w:rPr>
        <w:t>’</w:t>
      </w:r>
      <w:r w:rsidRPr="002B6D13">
        <w:rPr>
          <w:color w:val="000000" w:themeColor="text1"/>
          <w:u w:color="000000" w:themeColor="text1"/>
        </w:rPr>
        <w:t xml:space="preserve"> means all officers, departments, boards, commissions, institutions, universities, colleges, </w:t>
      </w:r>
      <w:r w:rsidRPr="002B6D13">
        <w:rPr>
          <w:color w:val="000000" w:themeColor="text1"/>
          <w:u w:val="single" w:color="000000" w:themeColor="text1"/>
        </w:rPr>
        <w:t>school districts,</w:t>
      </w:r>
      <w:r w:rsidRPr="002B6D13">
        <w:rPr>
          <w:color w:val="000000" w:themeColor="text1"/>
          <w:u w:color="000000" w:themeColor="text1"/>
        </w:rPr>
        <w:t xml:space="preserve"> bodies politic and corporate of the State and any other person or any other administrative unit of state government or corporate outgrowth of state government, expending or encumbering state funds by virtue of an appropriation from the General Assembly, or handling money on behalf of the State, or holding any trust funds from any source derived, but does not mean or include counties.</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D13">
        <w:rPr>
          <w:color w:val="000000" w:themeColor="text1"/>
          <w:u w:color="000000" w:themeColor="text1"/>
        </w:rPr>
        <w:t xml:space="preserve">For the purposes of this chapter, </w:t>
      </w:r>
      <w:r>
        <w:rPr>
          <w:color w:val="000000" w:themeColor="text1"/>
          <w:u w:color="000000" w:themeColor="text1"/>
        </w:rPr>
        <w:t>‘</w:t>
      </w:r>
      <w:r w:rsidRPr="002B6D13">
        <w:rPr>
          <w:color w:val="000000" w:themeColor="text1"/>
          <w:u w:color="000000" w:themeColor="text1"/>
        </w:rPr>
        <w:t>audit</w:t>
      </w:r>
      <w:r>
        <w:rPr>
          <w:color w:val="000000" w:themeColor="text1"/>
          <w:u w:color="000000" w:themeColor="text1"/>
        </w:rPr>
        <w:t>’</w:t>
      </w:r>
      <w:r w:rsidRPr="002B6D13">
        <w:rPr>
          <w:color w:val="000000" w:themeColor="text1"/>
          <w:u w:color="000000" w:themeColor="text1"/>
        </w:rPr>
        <w:t xml:space="preserve"> means a full</w:t>
      </w:r>
      <w:r w:rsidRPr="002B6D13">
        <w:rPr>
          <w:color w:val="000000" w:themeColor="text1"/>
          <w:u w:color="000000" w:themeColor="text1"/>
        </w:rPr>
        <w:noBreakHyphen/>
        <w:t>scope examination of and investigation into all state agency matters necessary to make a determination of:</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D13">
        <w:rPr>
          <w:color w:val="000000" w:themeColor="text1"/>
          <w:u w:color="000000" w:themeColor="text1"/>
        </w:rPr>
        <w:t>(a)(1)</w:t>
      </w:r>
      <w:r>
        <w:rPr>
          <w:color w:val="000000" w:themeColor="text1"/>
          <w:u w:color="000000" w:themeColor="text1"/>
        </w:rPr>
        <w:tab/>
      </w:r>
      <w:r w:rsidRPr="002B6D13">
        <w:rPr>
          <w:color w:val="000000" w:themeColor="text1"/>
          <w:u w:color="000000" w:themeColor="text1"/>
        </w:rPr>
        <w:t>whether the entity is acquiring, protecting, and using its resources, such as personnel, property, and space, economically and efficiently;</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(2)</w:t>
      </w:r>
      <w:r>
        <w:rPr>
          <w:color w:val="000000" w:themeColor="text1"/>
          <w:u w:color="000000" w:themeColor="text1"/>
        </w:rPr>
        <w:tab/>
      </w:r>
      <w:r w:rsidRPr="002B6D13">
        <w:rPr>
          <w:color w:val="000000" w:themeColor="text1"/>
          <w:u w:color="000000" w:themeColor="text1"/>
        </w:rPr>
        <w:t>the causes of inefficiencies or uneconomical practices; and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(3)</w:t>
      </w:r>
      <w:r>
        <w:rPr>
          <w:color w:val="000000" w:themeColor="text1"/>
          <w:u w:color="000000" w:themeColor="text1"/>
        </w:rPr>
        <w:tab/>
      </w:r>
      <w:r w:rsidRPr="002B6D13">
        <w:rPr>
          <w:color w:val="000000" w:themeColor="text1"/>
          <w:u w:color="000000" w:themeColor="text1"/>
        </w:rPr>
        <w:t>whether the entity has complied with laws and regulations concerning matters of economy and efficiency; and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B6D13">
        <w:rPr>
          <w:color w:val="000000" w:themeColor="text1"/>
          <w:u w:color="000000" w:themeColor="text1"/>
        </w:rPr>
        <w:t>(b)(1)</w:t>
      </w:r>
      <w:r>
        <w:rPr>
          <w:color w:val="000000" w:themeColor="text1"/>
          <w:u w:color="000000" w:themeColor="text1"/>
        </w:rPr>
        <w:tab/>
      </w:r>
      <w:r w:rsidRPr="002B6D13">
        <w:rPr>
          <w:color w:val="000000" w:themeColor="text1"/>
          <w:u w:color="000000" w:themeColor="text1"/>
        </w:rPr>
        <w:t>the extent to which the desired results or benefits established by the General Assembly or other authorizing body are achieved;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(2)</w:t>
      </w:r>
      <w:r>
        <w:rPr>
          <w:color w:val="000000" w:themeColor="text1"/>
          <w:u w:color="000000" w:themeColor="text1"/>
        </w:rPr>
        <w:tab/>
      </w:r>
      <w:r w:rsidRPr="002B6D13">
        <w:rPr>
          <w:color w:val="000000" w:themeColor="text1"/>
          <w:u w:color="000000" w:themeColor="text1"/>
        </w:rPr>
        <w:t>the effectiveness of organizations, programs, activities, or functions and whether these organizations, programs, activities, or functions should be continued, revised, or eliminated; and</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6D13">
        <w:rPr>
          <w:color w:val="000000" w:themeColor="text1"/>
          <w:u w:color="000000" w:themeColor="text1"/>
        </w:rPr>
        <w:t>(3)</w:t>
      </w:r>
      <w:r>
        <w:rPr>
          <w:color w:val="000000" w:themeColor="text1"/>
          <w:u w:color="000000" w:themeColor="text1"/>
        </w:rPr>
        <w:tab/>
      </w:r>
      <w:r w:rsidRPr="002B6D13">
        <w:rPr>
          <w:color w:val="000000" w:themeColor="text1"/>
          <w:u w:color="000000" w:themeColor="text1"/>
        </w:rPr>
        <w:t>whether the entity has complied with laws and regulations applicable to the program.</w:t>
      </w:r>
      <w:r>
        <w:rPr>
          <w:color w:val="000000" w:themeColor="text1"/>
          <w:u w:color="000000" w:themeColor="text1"/>
        </w:rPr>
        <w:t>”</w:t>
      </w:r>
    </w:p>
    <w:p w:rsidR="00B45979" w:rsidRPr="002B6D13"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204" w:rsidRDefault="00B45979" w:rsidP="00B45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6D13">
        <w:rPr>
          <w:color w:val="000000" w:themeColor="text1"/>
          <w:u w:color="000000" w:themeColor="text1"/>
        </w:rPr>
        <w:t>2.</w:t>
      </w:r>
      <w:r>
        <w:rPr>
          <w:color w:val="000000" w:themeColor="text1"/>
          <w:u w:color="000000" w:themeColor="text1"/>
        </w:rPr>
        <w:tab/>
      </w:r>
      <w:r w:rsidRPr="002B6D13">
        <w:rPr>
          <w:color w:val="000000" w:themeColor="text1"/>
          <w:u w:color="000000" w:themeColor="text1"/>
        </w:rPr>
        <w:t>This act takes effect upon approval by the Governor.”</w:t>
      </w:r>
    </w:p>
    <w:p w:rsidR="00D11E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5716" w:rsidRDefault="00DE5716" w:rsidP="00DE5716">
      <w:pPr>
        <w:suppressAutoHyphens/>
      </w:pPr>
    </w:p>
    <w:sectPr w:rsidR="00DE5716" w:rsidSect="00DE57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04" w:rsidRDefault="00EC2204" w:rsidP="009F0C77">
      <w:r>
        <w:separator/>
      </w:r>
    </w:p>
  </w:endnote>
  <w:endnote w:type="continuationSeparator" w:id="0">
    <w:p w:rsidR="00EC2204" w:rsidRDefault="00EC22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03F582-821E-42AA-888A-71CDB3B89769}"/>
    <w:embedBold r:id="rId2" w:fontKey="{5F79C4FC-171F-4AC0-968F-74798DF30771}"/>
  </w:font>
  <w:font w:name="Calibri">
    <w:panose1 w:val="020F0502020204030204"/>
    <w:charset w:val="00"/>
    <w:family w:val="swiss"/>
    <w:pitch w:val="variable"/>
    <w:sig w:usb0="E00002FF" w:usb1="4000ACFF" w:usb2="00000001" w:usb3="00000000" w:csb0="0000019F" w:csb1="00000000"/>
    <w:embedRegular r:id="rId3" w:fontKey="{4EFA0571-85A2-46A3-BEEB-6BD04BC9F1B4}"/>
  </w:font>
  <w:font w:name="Segoe UI">
    <w:panose1 w:val="020B0502040204020203"/>
    <w:charset w:val="00"/>
    <w:family w:val="swiss"/>
    <w:pitch w:val="variable"/>
    <w:sig w:usb0="E10022FF" w:usb1="C000E47F" w:usb2="00000029" w:usb3="00000000" w:csb0="000001DF" w:csb1="00000000"/>
    <w:embedRegular r:id="rId4" w:fontKey="{3F09FBDF-750D-4B1C-B2D0-B5338C4E0493}"/>
  </w:font>
  <w:font w:name="Cambria">
    <w:panose1 w:val="02040503050406030204"/>
    <w:charset w:val="00"/>
    <w:family w:val="roman"/>
    <w:pitch w:val="variable"/>
    <w:sig w:usb0="E00002FF" w:usb1="400004FF" w:usb2="00000000" w:usb3="00000000" w:csb0="0000019F" w:csb1="00000000"/>
    <w:embedRegular r:id="rId5" w:fontKey="{F787ABEB-1D34-43CA-940B-C46D1F933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E07" w:rsidRPr="00DE5716" w:rsidRDefault="00DE5716" w:rsidP="00DE5716">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04" w:rsidRDefault="00EC2204" w:rsidP="009F0C77">
      <w:r>
        <w:separator/>
      </w:r>
    </w:p>
  </w:footnote>
  <w:footnote w:type="continuationSeparator" w:id="0">
    <w:p w:rsidR="00EC2204" w:rsidRDefault="00EC22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2CZ17"/>
    <w:docVar w:name="CoverBillType" w:val="b"/>
    <w:docVar w:name="DocPath" w:val="L:\Council\bills\NBD\11112CZ17.DOCX"/>
    <w:docVar w:name="dvBillNumber" w:val="4036"/>
    <w:docVar w:name="dvBillNumberPrefix" w:val="H. "/>
    <w:docVar w:name="dvOriginalBody" w:val="House"/>
    <w:docVar w:name="dvSteno" w:val="NBD"/>
    <w:docVar w:name="NameofBody" w:val="h"/>
    <w:docVar w:name="vGroup2" w:val="Council"/>
  </w:docVars>
  <w:rsids>
    <w:rsidRoot w:val="00EC22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344"/>
    <w:rsid w:val="006913C9"/>
    <w:rsid w:val="0069470D"/>
    <w:rsid w:val="006D58AA"/>
    <w:rsid w:val="00734F00"/>
    <w:rsid w:val="007A70AE"/>
    <w:rsid w:val="008362E8"/>
    <w:rsid w:val="0085786E"/>
    <w:rsid w:val="008A1768"/>
    <w:rsid w:val="008A489F"/>
    <w:rsid w:val="008F0F33"/>
    <w:rsid w:val="008F4429"/>
    <w:rsid w:val="0094021A"/>
    <w:rsid w:val="009A4840"/>
    <w:rsid w:val="009B44AF"/>
    <w:rsid w:val="009C6A0B"/>
    <w:rsid w:val="009F0C77"/>
    <w:rsid w:val="009F4DD1"/>
    <w:rsid w:val="00A02543"/>
    <w:rsid w:val="00A41684"/>
    <w:rsid w:val="00A64E80"/>
    <w:rsid w:val="00A67609"/>
    <w:rsid w:val="00A72BCD"/>
    <w:rsid w:val="00A741D9"/>
    <w:rsid w:val="00A833AB"/>
    <w:rsid w:val="00A9741D"/>
    <w:rsid w:val="00AC34A2"/>
    <w:rsid w:val="00AD1C9A"/>
    <w:rsid w:val="00AD4B17"/>
    <w:rsid w:val="00B412D4"/>
    <w:rsid w:val="00B45979"/>
    <w:rsid w:val="00BE3C22"/>
    <w:rsid w:val="00C0345E"/>
    <w:rsid w:val="00C31C95"/>
    <w:rsid w:val="00C3483A"/>
    <w:rsid w:val="00C74E9D"/>
    <w:rsid w:val="00C826DD"/>
    <w:rsid w:val="00C82FD3"/>
    <w:rsid w:val="00C92819"/>
    <w:rsid w:val="00CC6B7B"/>
    <w:rsid w:val="00CD2089"/>
    <w:rsid w:val="00D107B1"/>
    <w:rsid w:val="00D11E07"/>
    <w:rsid w:val="00D73A67"/>
    <w:rsid w:val="00D970A9"/>
    <w:rsid w:val="00DE5716"/>
    <w:rsid w:val="00DF3845"/>
    <w:rsid w:val="00E41911"/>
    <w:rsid w:val="00E44B57"/>
    <w:rsid w:val="00E92EEF"/>
    <w:rsid w:val="00EC220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FB5DD-47ED-4F6A-8167-AE627DCF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B6D92-9459-42D2-A682-0CD1FF4B3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293</Words>
  <Characters>1641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4036 Text of Previous Version (Mar. 22, 2017) - South Carolina Legislature Online</dc:title>
  <dc:creator>%USERNAME%</dc:creator>
  <cp:lastModifiedBy>S Volk</cp:lastModifiedBy>
  <cp:revision>2</cp:revision>
  <cp:lastPrinted>2017-03-14T14:37:00Z</cp:lastPrinted>
  <dcterms:created xsi:type="dcterms:W3CDTF">2017-03-22T16:18:00Z</dcterms:created>
  <dcterms:modified xsi:type="dcterms:W3CDTF">2017-03-22T16:18:00Z</dcterms:modified>
</cp:coreProperties>
</file>